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744D" w:rsidRDefault="007100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5244" wp14:editId="5D72E014">
                <wp:simplePos x="0" y="0"/>
                <wp:positionH relativeFrom="column">
                  <wp:posOffset>352425</wp:posOffset>
                </wp:positionH>
                <wp:positionV relativeFrom="paragraph">
                  <wp:posOffset>290830</wp:posOffset>
                </wp:positionV>
                <wp:extent cx="6464300" cy="1714500"/>
                <wp:effectExtent l="0" t="0" r="0" b="0"/>
                <wp:wrapNone/>
                <wp:docPr id="3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31940EEAFD8F4058AD3AB0127031DCF8"/>
                              </w:placeholder>
                            </w:sdtPr>
                            <w:sdtEndPr/>
                            <w:sdtContent>
                              <w:p w:rsidR="009771DB" w:rsidRPr="00006957" w:rsidRDefault="009771DB" w:rsidP="00B40246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F27D3B"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  <w:lang w:bidi="es-ES"/>
                                  </w:rPr>
                                  <w:t>obligaciones</w:t>
                                </w:r>
                                <w:r w:rsidRPr="00F27D3B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75pt;margin-top:22.9pt;width:50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31940EEAFD8F4058AD3AB0127031DCF8"/>
                        </w:placeholder>
                      </w:sdtPr>
                      <w:sdtEndPr/>
                      <w:sdtContent>
                        <w:p w:rsidR="000D75C8" w:rsidRPr="00006957" w:rsidRDefault="000D75C8" w:rsidP="00B40246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F27D3B">
                            <w:rPr>
                              <w:rFonts w:ascii="Century Gothic" w:hAnsi="Century Gothic"/>
                              <w:sz w:val="48"/>
                              <w:szCs w:val="48"/>
                              <w:lang w:bidi="es-ES"/>
                            </w:rPr>
                            <w:t>obligaciones</w:t>
                          </w:r>
                          <w:r w:rsidRPr="00F27D3B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40246" w:rsidRPr="00B1184C" w:rsidRDefault="00D96F84" w:rsidP="00B40246">
      <w:pPr>
        <w:spacing w:before="120" w:after="120"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1DB" w:rsidRDefault="009771DB" w:rsidP="00B40246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DA7C6" wp14:editId="68AA1D83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" fillcolor="#50866c" stroked="f">
                <v:textbox inset=",7.2pt,,7.2pt">
                  <w:txbxContent>
                    <w:p w:rsidR="00D77BE4" w:rsidRDefault="00D77BE4" w:rsidP="00B40246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CDA7C6" wp14:editId="68AA1D83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40246" w:rsidRPr="00B1184C" w:rsidRDefault="00B40246" w:rsidP="00B40246">
      <w:pPr>
        <w:spacing w:before="120" w:after="120" w:line="312" w:lineRule="auto"/>
      </w:pPr>
    </w:p>
    <w:p w:rsidR="00B40246" w:rsidRPr="00B1184C" w:rsidRDefault="00B40246" w:rsidP="00B40246">
      <w:pPr>
        <w:spacing w:before="120" w:after="120" w:line="312" w:lineRule="auto"/>
      </w:pPr>
    </w:p>
    <w:p w:rsidR="00B40246" w:rsidRPr="00B1184C" w:rsidRDefault="00B40246" w:rsidP="00B40246">
      <w:pPr>
        <w:spacing w:before="120" w:after="120" w:line="312" w:lineRule="auto"/>
        <w:rPr>
          <w:rFonts w:ascii="Arial" w:hAnsi="Arial"/>
          <w:b/>
          <w:sz w:val="36"/>
        </w:rPr>
      </w:pPr>
    </w:p>
    <w:p w:rsidR="00B40246" w:rsidRPr="0063780B" w:rsidRDefault="00D96F84" w:rsidP="00B40246">
      <w:pPr>
        <w:spacing w:before="120" w:after="120" w:line="312" w:lineRule="auto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0C6CFF" w:rsidRDefault="000C6C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0C6CFF" w:rsidRPr="00CB5511" w:rsidTr="00BB6799">
        <w:tc>
          <w:tcPr>
            <w:tcW w:w="3652" w:type="dxa"/>
          </w:tcPr>
          <w:p w:rsidR="000C6CFF" w:rsidRPr="00E34195" w:rsidRDefault="000C6CFF">
            <w:pPr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Entidad evaluada</w:t>
            </w:r>
          </w:p>
        </w:tc>
        <w:tc>
          <w:tcPr>
            <w:tcW w:w="6954" w:type="dxa"/>
          </w:tcPr>
          <w:p w:rsidR="000C6CFF" w:rsidRPr="0041079E" w:rsidRDefault="00793725">
            <w:r>
              <w:t>Banco de España</w:t>
            </w:r>
          </w:p>
        </w:tc>
      </w:tr>
      <w:tr w:rsidR="000C6CFF" w:rsidRPr="00CB5511" w:rsidTr="00BB6799">
        <w:tc>
          <w:tcPr>
            <w:tcW w:w="3652" w:type="dxa"/>
          </w:tcPr>
          <w:p w:rsidR="000C6CFF" w:rsidRPr="00E34195" w:rsidRDefault="000C6CFF">
            <w:pPr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Fecha de la evaluación</w:t>
            </w:r>
          </w:p>
        </w:tc>
        <w:tc>
          <w:tcPr>
            <w:tcW w:w="6954" w:type="dxa"/>
          </w:tcPr>
          <w:p w:rsidR="000C6CFF" w:rsidRPr="0041079E" w:rsidRDefault="00A577D1" w:rsidP="00793725">
            <w:r>
              <w:t>2</w:t>
            </w:r>
            <w:r w:rsidR="00793725">
              <w:t>7</w:t>
            </w:r>
            <w:r w:rsidR="0041079E">
              <w:t>/</w:t>
            </w:r>
            <w:r w:rsidR="008D4833">
              <w:t>0</w:t>
            </w:r>
            <w:r w:rsidR="0041079E">
              <w:t>1/202</w:t>
            </w:r>
            <w:r w:rsidR="008D4833">
              <w:t>1</w:t>
            </w:r>
          </w:p>
        </w:tc>
      </w:tr>
      <w:tr w:rsidR="000C6CFF" w:rsidRPr="00CB5511" w:rsidTr="00BB6799">
        <w:tc>
          <w:tcPr>
            <w:tcW w:w="3652" w:type="dxa"/>
          </w:tcPr>
          <w:p w:rsidR="000C6CFF" w:rsidRPr="00E34195" w:rsidRDefault="000C6CFF">
            <w:pPr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URL de la entidad</w:t>
            </w:r>
          </w:p>
        </w:tc>
        <w:tc>
          <w:tcPr>
            <w:tcW w:w="6954" w:type="dxa"/>
          </w:tcPr>
          <w:p w:rsidR="000C6CFF" w:rsidRPr="0041079E" w:rsidRDefault="00793725">
            <w:r w:rsidRPr="00793725">
              <w:t>https://www.bde.es/bde/es/</w:t>
            </w:r>
          </w:p>
        </w:tc>
      </w:tr>
    </w:tbl>
    <w:p w:rsidR="000C6CFF" w:rsidRDefault="000C6CFF"/>
    <w:p w:rsidR="00561402" w:rsidRDefault="00561402"/>
    <w:p w:rsidR="00F14DA4" w:rsidRPr="00000DF7" w:rsidRDefault="00F14DA4">
      <w:pPr>
        <w:rPr>
          <w:b/>
          <w:color w:val="00642D"/>
          <w:sz w:val="30"/>
          <w:szCs w:val="30"/>
        </w:rPr>
      </w:pPr>
      <w:r w:rsidRPr="00000DF7">
        <w:rPr>
          <w:b/>
          <w:color w:val="00642D"/>
          <w:sz w:val="30"/>
          <w:szCs w:val="30"/>
        </w:rPr>
        <w:t>Tipo de sujeto obligado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8129"/>
        <w:gridCol w:w="709"/>
      </w:tblGrid>
      <w:tr w:rsidR="005B19E4" w:rsidRPr="00520631" w:rsidTr="00520631">
        <w:tc>
          <w:tcPr>
            <w:tcW w:w="1760" w:type="dxa"/>
            <w:shd w:val="clear" w:color="auto" w:fill="4D7F52"/>
            <w:vAlign w:val="center"/>
          </w:tcPr>
          <w:p w:rsidR="005B19E4" w:rsidRPr="00520631" w:rsidRDefault="005B19E4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0631">
              <w:rPr>
                <w:b/>
                <w:color w:val="FFFFFF" w:themeColor="background1"/>
                <w:sz w:val="20"/>
                <w:szCs w:val="20"/>
              </w:rPr>
              <w:t>Código de Sujeto</w:t>
            </w:r>
          </w:p>
        </w:tc>
        <w:tc>
          <w:tcPr>
            <w:tcW w:w="8129" w:type="dxa"/>
            <w:shd w:val="clear" w:color="auto" w:fill="4D7F52"/>
            <w:vAlign w:val="center"/>
          </w:tcPr>
          <w:p w:rsidR="005B19E4" w:rsidRPr="00520631" w:rsidRDefault="005B19E4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0631">
              <w:rPr>
                <w:b/>
                <w:color w:val="FFFFFF" w:themeColor="background1"/>
                <w:sz w:val="20"/>
                <w:szCs w:val="20"/>
              </w:rPr>
              <w:t>Sujetos incluidos</w:t>
            </w:r>
          </w:p>
        </w:tc>
        <w:tc>
          <w:tcPr>
            <w:tcW w:w="709" w:type="dxa"/>
            <w:shd w:val="clear" w:color="auto" w:fill="4D7F52"/>
            <w:vAlign w:val="center"/>
          </w:tcPr>
          <w:p w:rsidR="005B19E4" w:rsidRPr="00520631" w:rsidRDefault="005B19E4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2.1.a</w:t>
            </w:r>
          </w:p>
        </w:tc>
        <w:tc>
          <w:tcPr>
            <w:tcW w:w="8129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 w:rsidRPr="00F14DA4">
              <w:rPr>
                <w:sz w:val="20"/>
                <w:szCs w:val="20"/>
              </w:rPr>
              <w:t xml:space="preserve">Administración General del Estado, Administraciones de las Comunidades Autónomas 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2.1.a.1</w:t>
            </w:r>
          </w:p>
        </w:tc>
        <w:tc>
          <w:tcPr>
            <w:tcW w:w="8129" w:type="dxa"/>
          </w:tcPr>
          <w:p w:rsidR="005B19E4" w:rsidRDefault="005B19E4" w:rsidP="00F522DC">
            <w:pPr>
              <w:rPr>
                <w:sz w:val="20"/>
                <w:szCs w:val="20"/>
              </w:rPr>
            </w:pPr>
            <w:r w:rsidRPr="00595AAF">
              <w:rPr>
                <w:sz w:val="20"/>
                <w:szCs w:val="20"/>
              </w:rPr>
              <w:t xml:space="preserve">Ciudades </w:t>
            </w:r>
            <w:r>
              <w:rPr>
                <w:sz w:val="20"/>
                <w:szCs w:val="20"/>
              </w:rPr>
              <w:t xml:space="preserve">Autónomas </w:t>
            </w:r>
            <w:r w:rsidRPr="00595AAF">
              <w:rPr>
                <w:sz w:val="20"/>
                <w:szCs w:val="20"/>
              </w:rPr>
              <w:t>y las entidades que integran la Administración Local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2.1.b</w:t>
            </w:r>
          </w:p>
        </w:tc>
        <w:tc>
          <w:tcPr>
            <w:tcW w:w="8129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14DA4">
              <w:rPr>
                <w:sz w:val="20"/>
                <w:szCs w:val="20"/>
              </w:rPr>
              <w:t xml:space="preserve">utuas de </w:t>
            </w:r>
            <w:r>
              <w:rPr>
                <w:sz w:val="20"/>
                <w:szCs w:val="20"/>
              </w:rPr>
              <w:t>a</w:t>
            </w:r>
            <w:r w:rsidRPr="00F14DA4">
              <w:rPr>
                <w:sz w:val="20"/>
                <w:szCs w:val="20"/>
              </w:rPr>
              <w:t xml:space="preserve">ccidentes de </w:t>
            </w:r>
            <w:r>
              <w:rPr>
                <w:sz w:val="20"/>
                <w:szCs w:val="20"/>
              </w:rPr>
              <w:t>t</w:t>
            </w:r>
            <w:r w:rsidRPr="00F14DA4">
              <w:rPr>
                <w:sz w:val="20"/>
                <w:szCs w:val="20"/>
              </w:rPr>
              <w:t xml:space="preserve">rabajo y enfermedades profesionales 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2.1.c</w:t>
            </w:r>
          </w:p>
        </w:tc>
        <w:tc>
          <w:tcPr>
            <w:tcW w:w="8129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Organismos y entidades vinculados o dependientes de administraciones públicas</w:t>
            </w:r>
            <w:r w:rsidRPr="00000D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2.1.d</w:t>
            </w:r>
          </w:p>
        </w:tc>
        <w:tc>
          <w:tcPr>
            <w:tcW w:w="8129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00DF7">
              <w:rPr>
                <w:sz w:val="20"/>
                <w:szCs w:val="20"/>
              </w:rPr>
              <w:t>ntidades de Derecho Público con personalidad jurídica propia, vinculadas a cualquiera de las Administraciones Públicas o dependientes de ellas,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2.1.e</w:t>
            </w:r>
          </w:p>
        </w:tc>
        <w:tc>
          <w:tcPr>
            <w:tcW w:w="8129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00DF7">
              <w:rPr>
                <w:sz w:val="20"/>
                <w:szCs w:val="20"/>
              </w:rPr>
              <w:t>orporaciones de Derecho Público,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2.1.f</w:t>
            </w:r>
          </w:p>
        </w:tc>
        <w:tc>
          <w:tcPr>
            <w:tcW w:w="8129" w:type="dxa"/>
          </w:tcPr>
          <w:p w:rsidR="005B19E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Órganos constitucionales o de relevancia constitucional</w:t>
            </w:r>
          </w:p>
        </w:tc>
        <w:tc>
          <w:tcPr>
            <w:tcW w:w="709" w:type="dxa"/>
            <w:vAlign w:val="center"/>
          </w:tcPr>
          <w:p w:rsidR="005B19E4" w:rsidRPr="004A123A" w:rsidRDefault="00B10A12" w:rsidP="00F52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B19E4" w:rsidRPr="00F14DA4" w:rsidTr="00F522DC">
        <w:tc>
          <w:tcPr>
            <w:tcW w:w="1760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2.1.g</w:t>
            </w:r>
          </w:p>
        </w:tc>
        <w:tc>
          <w:tcPr>
            <w:tcW w:w="8129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Sociedades Mercantiles y Fundaciones del Sector Público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2.1.h</w:t>
            </w:r>
          </w:p>
        </w:tc>
        <w:tc>
          <w:tcPr>
            <w:tcW w:w="8129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  <w:r w:rsidRPr="003F572A">
              <w:rPr>
                <w:sz w:val="20"/>
                <w:szCs w:val="20"/>
              </w:rPr>
              <w:t>ociaciones constituidas por las Administraciones, organismos y entidades</w:t>
            </w:r>
            <w:r>
              <w:rPr>
                <w:sz w:val="20"/>
                <w:szCs w:val="20"/>
              </w:rPr>
              <w:t xml:space="preserve"> publicas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8129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61402">
              <w:rPr>
                <w:sz w:val="20"/>
                <w:szCs w:val="20"/>
              </w:rPr>
              <w:t>artidos políticos, organizaciones sindicales y organizaciones empresariales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9E4" w:rsidRPr="00F14DA4" w:rsidTr="00F522DC">
        <w:tc>
          <w:tcPr>
            <w:tcW w:w="1760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8129" w:type="dxa"/>
          </w:tcPr>
          <w:p w:rsidR="005B19E4" w:rsidRPr="00F14DA4" w:rsidRDefault="005B19E4" w:rsidP="00F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61402">
              <w:rPr>
                <w:sz w:val="20"/>
                <w:szCs w:val="20"/>
              </w:rPr>
              <w:t>ntidades privadas que perciban durante el período de un año ayudas o subvenciones públicas en una cuantía superior a 100.000 euros</w:t>
            </w:r>
          </w:p>
        </w:tc>
        <w:tc>
          <w:tcPr>
            <w:tcW w:w="709" w:type="dxa"/>
            <w:vAlign w:val="center"/>
          </w:tcPr>
          <w:p w:rsidR="005B19E4" w:rsidRPr="004A123A" w:rsidRDefault="005B19E4" w:rsidP="00F522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0631" w:rsidRDefault="00520631">
      <w:pPr>
        <w:rPr>
          <w:b/>
          <w:color w:val="00642D"/>
          <w:sz w:val="30"/>
          <w:szCs w:val="30"/>
        </w:rPr>
      </w:pPr>
    </w:p>
    <w:p w:rsidR="00520631" w:rsidRDefault="00520631">
      <w:pPr>
        <w:rPr>
          <w:b/>
          <w:color w:val="00642D"/>
          <w:sz w:val="30"/>
          <w:szCs w:val="30"/>
        </w:rPr>
      </w:pPr>
      <w:r>
        <w:rPr>
          <w:b/>
          <w:color w:val="00642D"/>
          <w:sz w:val="30"/>
          <w:szCs w:val="30"/>
        </w:rPr>
        <w:br w:type="page"/>
      </w:r>
    </w:p>
    <w:p w:rsidR="00CB5511" w:rsidRDefault="00BB6799">
      <w:pPr>
        <w:rPr>
          <w:b/>
          <w:color w:val="00642D"/>
          <w:sz w:val="30"/>
          <w:szCs w:val="30"/>
        </w:rPr>
      </w:pPr>
      <w:r w:rsidRPr="00BB6799">
        <w:rPr>
          <w:b/>
          <w:color w:val="00642D"/>
          <w:sz w:val="30"/>
          <w:szCs w:val="30"/>
        </w:rPr>
        <w:lastRenderedPageBreak/>
        <w:t>Obligaciones de publicidad activa que le son de aplicación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45"/>
        <w:gridCol w:w="8323"/>
        <w:gridCol w:w="714"/>
      </w:tblGrid>
      <w:tr w:rsidR="0057532F" w:rsidRPr="0057532F" w:rsidTr="0018611A">
        <w:tc>
          <w:tcPr>
            <w:tcW w:w="770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D7F52"/>
            <w:vAlign w:val="center"/>
          </w:tcPr>
          <w:p w:rsidR="00BB6799" w:rsidRPr="0057532F" w:rsidRDefault="00BB6799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7532F">
              <w:rPr>
                <w:b/>
                <w:color w:val="FFFFFF" w:themeColor="background1"/>
                <w:sz w:val="20"/>
                <w:szCs w:val="20"/>
              </w:rPr>
              <w:t>Bloque de obligaciones</w:t>
            </w:r>
          </w:p>
        </w:tc>
        <w:tc>
          <w:tcPr>
            <w:tcW w:w="38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D7F52"/>
            <w:vAlign w:val="center"/>
          </w:tcPr>
          <w:p w:rsidR="00BB6799" w:rsidRPr="0057532F" w:rsidRDefault="00BB6799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7532F">
              <w:rPr>
                <w:b/>
                <w:color w:val="FFFFFF" w:themeColor="background1"/>
                <w:sz w:val="20"/>
                <w:szCs w:val="20"/>
              </w:rPr>
              <w:t>Obligaciones</w:t>
            </w:r>
          </w:p>
        </w:tc>
        <w:tc>
          <w:tcPr>
            <w:tcW w:w="334" w:type="pct"/>
            <w:tcBorders>
              <w:top w:val="nil"/>
              <w:left w:val="single" w:sz="4" w:space="0" w:color="FFFFFF" w:themeColor="background1"/>
              <w:bottom w:val="single" w:sz="4" w:space="0" w:color="4D7F52"/>
              <w:right w:val="single" w:sz="4" w:space="0" w:color="4D7F52"/>
            </w:tcBorders>
            <w:shd w:val="clear" w:color="auto" w:fill="4D7F52"/>
            <w:vAlign w:val="center"/>
          </w:tcPr>
          <w:p w:rsidR="00BB6799" w:rsidRPr="0057532F" w:rsidRDefault="00BB6799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B6799" w:rsidRPr="00BB6799" w:rsidTr="0018611A">
        <w:tc>
          <w:tcPr>
            <w:tcW w:w="770" w:type="pct"/>
            <w:vMerge w:val="restart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4D7F52"/>
            <w:textDirection w:val="btLr"/>
            <w:vAlign w:val="center"/>
          </w:tcPr>
          <w:p w:rsidR="00BB6799" w:rsidRPr="0057532F" w:rsidRDefault="00BB6799" w:rsidP="00520631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7532F">
              <w:rPr>
                <w:b/>
                <w:color w:val="FFFFFF" w:themeColor="background1"/>
                <w:sz w:val="20"/>
                <w:szCs w:val="20"/>
              </w:rPr>
              <w:t>Institucional, Organizativa y de Planificación. Registro de Actividades de Tratamiento</w:t>
            </w:r>
          </w:p>
        </w:tc>
        <w:tc>
          <w:tcPr>
            <w:tcW w:w="3895" w:type="pct"/>
            <w:tcBorders>
              <w:top w:val="nil"/>
              <w:left w:val="nil"/>
            </w:tcBorders>
          </w:tcPr>
          <w:p w:rsidR="00BB6799" w:rsidRPr="00BB6799" w:rsidRDefault="00BB6799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>Normativa aplicable</w:t>
            </w:r>
          </w:p>
        </w:tc>
        <w:tc>
          <w:tcPr>
            <w:tcW w:w="334" w:type="pct"/>
            <w:tcBorders>
              <w:top w:val="single" w:sz="4" w:space="0" w:color="4D7F52"/>
            </w:tcBorders>
            <w:vAlign w:val="center"/>
          </w:tcPr>
          <w:p w:rsidR="00BB6799" w:rsidRPr="00BB6799" w:rsidRDefault="00AD2022" w:rsidP="00561402">
            <w:pPr>
              <w:jc w:val="center"/>
              <w:rPr>
                <w:b/>
                <w:color w:val="00642D"/>
                <w:sz w:val="20"/>
                <w:szCs w:val="20"/>
              </w:rPr>
            </w:pPr>
            <w:r w:rsidRPr="00AD2022">
              <w:rPr>
                <w:b/>
                <w:sz w:val="20"/>
                <w:szCs w:val="20"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AD2022" w:rsidRPr="00BB6799" w:rsidRDefault="00AD2022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>Funciones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AD2022" w:rsidRPr="00BB6799" w:rsidRDefault="00AD2022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>Registro de Actividades de Tratamiento</w:t>
            </w:r>
          </w:p>
        </w:tc>
        <w:tc>
          <w:tcPr>
            <w:tcW w:w="334" w:type="pct"/>
          </w:tcPr>
          <w:p w:rsidR="00AD2022" w:rsidRPr="00AD2022" w:rsidRDefault="00544E0C" w:rsidP="00AD202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AD2022" w:rsidRPr="00BB6799" w:rsidRDefault="00AD2022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>Descripción estructura organizativa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AD2022" w:rsidRPr="00BB6799" w:rsidRDefault="00AD2022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>Organigrama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AD2022" w:rsidRPr="00BB6799" w:rsidRDefault="00AD2022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>Identificación Responsables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AD2022" w:rsidRPr="00BB6799" w:rsidRDefault="00AD2022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>Perfil y trayectoria profesional responsables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AD2022" w:rsidRPr="00BB6799" w:rsidRDefault="00AD2022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 xml:space="preserve">Planes y Programas 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AD2022" w:rsidRPr="00BB6799" w:rsidRDefault="00AD2022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>Grado de cumplimiento y resultados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</w:p>
        </w:tc>
      </w:tr>
      <w:tr w:rsidR="00AD2022" w:rsidRPr="00BB6799" w:rsidTr="0018611A">
        <w:tc>
          <w:tcPr>
            <w:tcW w:w="770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AD2022" w:rsidRPr="00BB6799" w:rsidRDefault="00AD2022" w:rsidP="00BB6799">
            <w:pPr>
              <w:rPr>
                <w:sz w:val="20"/>
                <w:szCs w:val="20"/>
              </w:rPr>
            </w:pPr>
            <w:r w:rsidRPr="00BB6799">
              <w:rPr>
                <w:sz w:val="20"/>
                <w:szCs w:val="20"/>
              </w:rPr>
              <w:t>Indicadores de medida y valoración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</w:p>
        </w:tc>
      </w:tr>
      <w:tr w:rsidR="00B579C7" w:rsidRPr="00BB6799" w:rsidTr="0018611A">
        <w:tc>
          <w:tcPr>
            <w:tcW w:w="770" w:type="pct"/>
            <w:vMerge w:val="restart"/>
            <w:tcBorders>
              <w:top w:val="single" w:sz="4" w:space="0" w:color="FFFFFF" w:themeColor="background1"/>
              <w:right w:val="nil"/>
            </w:tcBorders>
            <w:shd w:val="clear" w:color="auto" w:fill="4D7F52"/>
            <w:textDirection w:val="btLr"/>
            <w:vAlign w:val="center"/>
          </w:tcPr>
          <w:p w:rsidR="00B579C7" w:rsidRPr="0057532F" w:rsidRDefault="00B579C7" w:rsidP="00520631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7532F">
              <w:rPr>
                <w:b/>
                <w:color w:val="FFFFFF" w:themeColor="background1"/>
                <w:sz w:val="20"/>
                <w:szCs w:val="20"/>
              </w:rPr>
              <w:t>Relevancia Jurídica</w:t>
            </w:r>
          </w:p>
        </w:tc>
        <w:tc>
          <w:tcPr>
            <w:tcW w:w="3895" w:type="pct"/>
            <w:tcBorders>
              <w:left w:val="nil"/>
            </w:tcBorders>
          </w:tcPr>
          <w:p w:rsidR="00B579C7" w:rsidRPr="0057532F" w:rsidRDefault="00B579C7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Directrices, instrucciones, acuerdos, circulares o respuestas a consultas</w:t>
            </w:r>
          </w:p>
        </w:tc>
        <w:tc>
          <w:tcPr>
            <w:tcW w:w="334" w:type="pct"/>
          </w:tcPr>
          <w:p w:rsidR="00B579C7" w:rsidRPr="00AD2022" w:rsidRDefault="00B579C7" w:rsidP="00AD2022">
            <w:pPr>
              <w:jc w:val="center"/>
              <w:rPr>
                <w:b/>
              </w:rPr>
            </w:pPr>
          </w:p>
        </w:tc>
      </w:tr>
      <w:tr w:rsidR="00B579C7" w:rsidRPr="00BB6799" w:rsidTr="0018611A">
        <w:tc>
          <w:tcPr>
            <w:tcW w:w="770" w:type="pct"/>
            <w:vMerge/>
            <w:tcBorders>
              <w:right w:val="nil"/>
            </w:tcBorders>
            <w:shd w:val="clear" w:color="auto" w:fill="4D7F52"/>
            <w:vAlign w:val="center"/>
          </w:tcPr>
          <w:p w:rsidR="00B579C7" w:rsidRPr="0057532F" w:rsidRDefault="00B579C7" w:rsidP="0052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B579C7" w:rsidRPr="0057532F" w:rsidRDefault="00B579C7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Anteproyectos de Ley</w:t>
            </w:r>
          </w:p>
        </w:tc>
        <w:tc>
          <w:tcPr>
            <w:tcW w:w="334" w:type="pct"/>
          </w:tcPr>
          <w:p w:rsidR="00B579C7" w:rsidRPr="00AD2022" w:rsidRDefault="00B579C7" w:rsidP="00AD2022">
            <w:pPr>
              <w:jc w:val="center"/>
              <w:rPr>
                <w:b/>
              </w:rPr>
            </w:pPr>
          </w:p>
        </w:tc>
      </w:tr>
      <w:tr w:rsidR="00B579C7" w:rsidRPr="00BB6799" w:rsidTr="0018611A">
        <w:tc>
          <w:tcPr>
            <w:tcW w:w="770" w:type="pct"/>
            <w:vMerge/>
            <w:tcBorders>
              <w:right w:val="nil"/>
            </w:tcBorders>
            <w:shd w:val="clear" w:color="auto" w:fill="4D7F52"/>
            <w:vAlign w:val="center"/>
          </w:tcPr>
          <w:p w:rsidR="00B579C7" w:rsidRPr="0057532F" w:rsidRDefault="00B579C7" w:rsidP="0052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B579C7" w:rsidRPr="0057532F" w:rsidRDefault="00B579C7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Proyectos de Decretos Legislativos</w:t>
            </w:r>
          </w:p>
        </w:tc>
        <w:tc>
          <w:tcPr>
            <w:tcW w:w="334" w:type="pct"/>
          </w:tcPr>
          <w:p w:rsidR="00B579C7" w:rsidRPr="00AD2022" w:rsidRDefault="00B579C7" w:rsidP="00AD2022">
            <w:pPr>
              <w:jc w:val="center"/>
              <w:rPr>
                <w:b/>
              </w:rPr>
            </w:pPr>
          </w:p>
        </w:tc>
      </w:tr>
      <w:tr w:rsidR="00B579C7" w:rsidRPr="00BB6799" w:rsidTr="0018611A">
        <w:tc>
          <w:tcPr>
            <w:tcW w:w="770" w:type="pct"/>
            <w:vMerge/>
            <w:tcBorders>
              <w:right w:val="nil"/>
            </w:tcBorders>
            <w:shd w:val="clear" w:color="auto" w:fill="4D7F52"/>
            <w:vAlign w:val="center"/>
          </w:tcPr>
          <w:p w:rsidR="00B579C7" w:rsidRPr="0057532F" w:rsidRDefault="00B579C7" w:rsidP="0052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B579C7" w:rsidRPr="0057532F" w:rsidRDefault="00B579C7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Proyectos de Reglamentos</w:t>
            </w:r>
          </w:p>
        </w:tc>
        <w:tc>
          <w:tcPr>
            <w:tcW w:w="334" w:type="pct"/>
          </w:tcPr>
          <w:p w:rsidR="00B579C7" w:rsidRPr="00AD2022" w:rsidRDefault="00B579C7" w:rsidP="00AD2022">
            <w:pPr>
              <w:jc w:val="center"/>
              <w:rPr>
                <w:b/>
              </w:rPr>
            </w:pPr>
          </w:p>
        </w:tc>
      </w:tr>
      <w:tr w:rsidR="00B579C7" w:rsidRPr="00BB6799" w:rsidTr="0018611A">
        <w:tc>
          <w:tcPr>
            <w:tcW w:w="770" w:type="pct"/>
            <w:vMerge/>
            <w:tcBorders>
              <w:right w:val="nil"/>
            </w:tcBorders>
            <w:shd w:val="clear" w:color="auto" w:fill="4D7F52"/>
            <w:vAlign w:val="center"/>
          </w:tcPr>
          <w:p w:rsidR="00B579C7" w:rsidRPr="0057532F" w:rsidRDefault="00B579C7" w:rsidP="0052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B579C7" w:rsidRPr="0057532F" w:rsidRDefault="00B579C7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Memorias e informes que conformen los expedientes de elaboración de los textos normativos</w:t>
            </w:r>
          </w:p>
        </w:tc>
        <w:tc>
          <w:tcPr>
            <w:tcW w:w="334" w:type="pct"/>
          </w:tcPr>
          <w:p w:rsidR="00B579C7" w:rsidRPr="00AD2022" w:rsidRDefault="00B579C7" w:rsidP="00AD2022">
            <w:pPr>
              <w:jc w:val="center"/>
              <w:rPr>
                <w:b/>
              </w:rPr>
            </w:pPr>
          </w:p>
        </w:tc>
      </w:tr>
      <w:tr w:rsidR="00B579C7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4D7F52"/>
            <w:vAlign w:val="center"/>
          </w:tcPr>
          <w:p w:rsidR="00B579C7" w:rsidRPr="0057532F" w:rsidRDefault="00B579C7" w:rsidP="0052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pct"/>
            <w:tcBorders>
              <w:left w:val="nil"/>
            </w:tcBorders>
          </w:tcPr>
          <w:p w:rsidR="00B579C7" w:rsidRPr="0057532F" w:rsidRDefault="00B579C7" w:rsidP="0057532F">
            <w:pPr>
              <w:rPr>
                <w:sz w:val="20"/>
                <w:szCs w:val="20"/>
              </w:rPr>
            </w:pPr>
            <w:r w:rsidRPr="00B579C7">
              <w:rPr>
                <w:sz w:val="20"/>
                <w:szCs w:val="20"/>
              </w:rPr>
              <w:t>Documentos sometidos a información</w:t>
            </w:r>
            <w:r>
              <w:rPr>
                <w:sz w:val="20"/>
                <w:szCs w:val="20"/>
              </w:rPr>
              <w:t xml:space="preserve"> pública durante su tramitación</w:t>
            </w:r>
          </w:p>
        </w:tc>
        <w:tc>
          <w:tcPr>
            <w:tcW w:w="334" w:type="pct"/>
          </w:tcPr>
          <w:p w:rsidR="00B579C7" w:rsidRPr="00AD2022" w:rsidRDefault="00B579C7" w:rsidP="00AD2022">
            <w:pPr>
              <w:jc w:val="center"/>
              <w:rPr>
                <w:b/>
              </w:rPr>
            </w:pPr>
          </w:p>
        </w:tc>
      </w:tr>
      <w:tr w:rsidR="00AD2022" w:rsidRPr="00BB6799" w:rsidTr="0018611A">
        <w:tc>
          <w:tcPr>
            <w:tcW w:w="770" w:type="pct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4D7F52"/>
            <w:textDirection w:val="btLr"/>
            <w:vAlign w:val="center"/>
          </w:tcPr>
          <w:p w:rsidR="00AD2022" w:rsidRPr="0057532F" w:rsidRDefault="00AD2022" w:rsidP="00520631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7532F">
              <w:rPr>
                <w:b/>
                <w:color w:val="FFFFFF" w:themeColor="background1"/>
                <w:sz w:val="20"/>
                <w:szCs w:val="20"/>
              </w:rPr>
              <w:t>Económica, Presupuestaria y Estadística</w:t>
            </w:r>
          </w:p>
        </w:tc>
        <w:tc>
          <w:tcPr>
            <w:tcW w:w="3895" w:type="pct"/>
          </w:tcPr>
          <w:p w:rsidR="00AD2022" w:rsidRPr="0057532F" w:rsidRDefault="00AD2022" w:rsidP="00743756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 xml:space="preserve">Contratos 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 xml:space="preserve">Modificaciones  de contratos 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 xml:space="preserve">Desistimientos y Renuncias 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Datos estadísticos sobre contratos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Contratos Menores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Relación de los convenios suscritos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Encomiendas y Encargos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Subcontrataciones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743756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 xml:space="preserve">Subvenciones y ayudas públicas 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Presupuestos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Ejecución presupuestaria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Cumplimiento de los objetivos de estabilidad presupuestaria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Cumplimiento de los objetivos de sostenibilidad financiera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Cuentas anuales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Informes de auditoría de cuentas y de fiscalización por órganos de control externo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Retribuciones anuales Altos Cargos y máximos responsables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Indemnizaciones percibidas por Altos Cargos con ocasión del abandono del cargo</w:t>
            </w:r>
          </w:p>
        </w:tc>
        <w:tc>
          <w:tcPr>
            <w:tcW w:w="334" w:type="pct"/>
          </w:tcPr>
          <w:p w:rsidR="00AD2022" w:rsidRPr="00AD2022" w:rsidRDefault="00AD2022" w:rsidP="00AD2022">
            <w:pPr>
              <w:jc w:val="center"/>
              <w:rPr>
                <w:b/>
              </w:rPr>
            </w:pPr>
            <w:r w:rsidRPr="00AD2022">
              <w:rPr>
                <w:b/>
              </w:rPr>
              <w:t>x</w:t>
            </w:r>
          </w:p>
        </w:tc>
      </w:tr>
      <w:tr w:rsidR="00544E0C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544E0C" w:rsidRPr="0057532F" w:rsidRDefault="00544E0C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544E0C" w:rsidRPr="0057532F" w:rsidRDefault="00544E0C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 xml:space="preserve">Resoluciones de autorización o reconocimiento de compatibilidad </w:t>
            </w:r>
            <w:r>
              <w:rPr>
                <w:sz w:val="20"/>
                <w:szCs w:val="20"/>
              </w:rPr>
              <w:t xml:space="preserve">de </w:t>
            </w:r>
            <w:r w:rsidRPr="0057532F">
              <w:rPr>
                <w:sz w:val="20"/>
                <w:szCs w:val="20"/>
              </w:rPr>
              <w:t>empleados.</w:t>
            </w:r>
          </w:p>
        </w:tc>
        <w:tc>
          <w:tcPr>
            <w:tcW w:w="334" w:type="pct"/>
          </w:tcPr>
          <w:p w:rsidR="00544E0C" w:rsidRDefault="00544E0C" w:rsidP="00544E0C">
            <w:pPr>
              <w:jc w:val="center"/>
            </w:pPr>
            <w:r w:rsidRPr="001E0D3C">
              <w:rPr>
                <w:b/>
              </w:rPr>
              <w:t>x</w:t>
            </w:r>
          </w:p>
        </w:tc>
      </w:tr>
      <w:tr w:rsidR="00544E0C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544E0C" w:rsidRPr="0057532F" w:rsidRDefault="00544E0C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544E0C" w:rsidRPr="0057532F" w:rsidRDefault="00544E0C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Autorización para actividad privada al cese de altos cargos en la AGE</w:t>
            </w:r>
            <w:r>
              <w:rPr>
                <w:sz w:val="20"/>
                <w:szCs w:val="20"/>
              </w:rPr>
              <w:t xml:space="preserve">, </w:t>
            </w:r>
            <w:r w:rsidRPr="0057532F">
              <w:rPr>
                <w:sz w:val="20"/>
                <w:szCs w:val="20"/>
              </w:rPr>
              <w:t>CCAA o EELL</w:t>
            </w:r>
          </w:p>
        </w:tc>
        <w:tc>
          <w:tcPr>
            <w:tcW w:w="334" w:type="pct"/>
          </w:tcPr>
          <w:p w:rsidR="00544E0C" w:rsidRDefault="00544E0C" w:rsidP="00544E0C">
            <w:pPr>
              <w:jc w:val="center"/>
            </w:pPr>
            <w:r w:rsidRPr="001E0D3C">
              <w:rPr>
                <w:b/>
              </w:rPr>
              <w:t>x</w:t>
            </w:r>
          </w:p>
        </w:tc>
      </w:tr>
      <w:tr w:rsidR="005F29B8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5F29B8" w:rsidRPr="0057532F" w:rsidRDefault="005F29B8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5F29B8" w:rsidRPr="0057532F" w:rsidRDefault="005F29B8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Declaraciones anuales de bienes de los representantes locales</w:t>
            </w:r>
          </w:p>
        </w:tc>
        <w:tc>
          <w:tcPr>
            <w:tcW w:w="334" w:type="pct"/>
          </w:tcPr>
          <w:p w:rsidR="005F29B8" w:rsidRDefault="005F29B8" w:rsidP="005F29B8">
            <w:pPr>
              <w:jc w:val="center"/>
            </w:pPr>
          </w:p>
        </w:tc>
      </w:tr>
      <w:tr w:rsidR="005F29B8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5F29B8" w:rsidRPr="0057532F" w:rsidRDefault="005F29B8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</w:tcPr>
          <w:p w:rsidR="005F29B8" w:rsidRPr="0057532F" w:rsidRDefault="005F29B8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Declaraciones de actividades de los representantes locales</w:t>
            </w:r>
          </w:p>
        </w:tc>
        <w:tc>
          <w:tcPr>
            <w:tcW w:w="334" w:type="pct"/>
          </w:tcPr>
          <w:p w:rsidR="005F29B8" w:rsidRDefault="005F29B8" w:rsidP="005F29B8">
            <w:pPr>
              <w:jc w:val="center"/>
            </w:pPr>
          </w:p>
        </w:tc>
      </w:tr>
      <w:tr w:rsidR="00AD2022" w:rsidRPr="00BB6799" w:rsidTr="0018611A">
        <w:tc>
          <w:tcPr>
            <w:tcW w:w="770" w:type="pct"/>
            <w:vMerge/>
            <w:tcBorders>
              <w:bottom w:val="single" w:sz="4" w:space="0" w:color="FFFFFF" w:themeColor="background1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5" w:type="pct"/>
            <w:tcBorders>
              <w:bottom w:val="single" w:sz="4" w:space="0" w:color="000000" w:themeColor="text1"/>
            </w:tcBorders>
          </w:tcPr>
          <w:p w:rsidR="00AD2022" w:rsidRPr="0057532F" w:rsidRDefault="00AD2022" w:rsidP="0057532F">
            <w:pPr>
              <w:rPr>
                <w:sz w:val="20"/>
                <w:szCs w:val="20"/>
              </w:rPr>
            </w:pPr>
            <w:r w:rsidRPr="0057532F">
              <w:rPr>
                <w:sz w:val="20"/>
                <w:szCs w:val="20"/>
              </w:rPr>
              <w:t>Información estadística necesaria para valorar el grado de cumplimiento y calidad de los servicios públicos de su competencia</w:t>
            </w:r>
          </w:p>
        </w:tc>
        <w:tc>
          <w:tcPr>
            <w:tcW w:w="334" w:type="pct"/>
            <w:tcBorders>
              <w:bottom w:val="single" w:sz="4" w:space="0" w:color="000000" w:themeColor="text1"/>
            </w:tcBorders>
          </w:tcPr>
          <w:p w:rsidR="00AD2022" w:rsidRPr="00AD2022" w:rsidRDefault="00AD2022" w:rsidP="00AD2022">
            <w:pPr>
              <w:jc w:val="center"/>
              <w:rPr>
                <w:b/>
              </w:rPr>
            </w:pPr>
          </w:p>
        </w:tc>
      </w:tr>
      <w:tr w:rsidR="00AD2022" w:rsidRPr="00BB6799" w:rsidTr="0018611A">
        <w:tc>
          <w:tcPr>
            <w:tcW w:w="770" w:type="pct"/>
            <w:tcBorders>
              <w:top w:val="single" w:sz="4" w:space="0" w:color="FFFFFF" w:themeColor="background1"/>
              <w:bottom w:val="nil"/>
            </w:tcBorders>
            <w:shd w:val="clear" w:color="auto" w:fill="4D7F52"/>
            <w:vAlign w:val="center"/>
          </w:tcPr>
          <w:p w:rsidR="00AD2022" w:rsidRPr="0057532F" w:rsidRDefault="00AD2022" w:rsidP="005206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7532F">
              <w:rPr>
                <w:b/>
                <w:color w:val="FFFFFF" w:themeColor="background1"/>
                <w:sz w:val="20"/>
                <w:szCs w:val="20"/>
              </w:rPr>
              <w:t>Información Patrimonial</w:t>
            </w:r>
          </w:p>
        </w:tc>
        <w:tc>
          <w:tcPr>
            <w:tcW w:w="3895" w:type="pct"/>
            <w:tcBorders>
              <w:bottom w:val="single" w:sz="4" w:space="0" w:color="000000" w:themeColor="text1"/>
            </w:tcBorders>
          </w:tcPr>
          <w:p w:rsidR="00AD2022" w:rsidRPr="00496611" w:rsidRDefault="00AD2022" w:rsidP="0057532F">
            <w:r w:rsidRPr="0057532F">
              <w:rPr>
                <w:sz w:val="20"/>
                <w:szCs w:val="20"/>
              </w:rPr>
              <w:t>Relación de los bienes inmuebles que sean de su propiedad o sobre los que ostenten algún derecho real.</w:t>
            </w:r>
          </w:p>
        </w:tc>
        <w:tc>
          <w:tcPr>
            <w:tcW w:w="334" w:type="pct"/>
            <w:tcBorders>
              <w:bottom w:val="single" w:sz="4" w:space="0" w:color="000000" w:themeColor="text1"/>
            </w:tcBorders>
          </w:tcPr>
          <w:p w:rsidR="00AD2022" w:rsidRPr="00AD2022" w:rsidRDefault="00AD2022" w:rsidP="00AD2022">
            <w:pPr>
              <w:jc w:val="center"/>
              <w:rPr>
                <w:b/>
              </w:rPr>
            </w:pPr>
          </w:p>
        </w:tc>
      </w:tr>
    </w:tbl>
    <w:p w:rsidR="00520631" w:rsidRDefault="00520631" w:rsidP="000C6CFF">
      <w:pPr>
        <w:pStyle w:val="Titulardelboletn"/>
        <w:spacing w:before="120" w:after="120" w:line="312" w:lineRule="auto"/>
        <w:ind w:left="720" w:hanging="360"/>
        <w:rPr>
          <w:rFonts w:ascii="Century Gothic" w:hAnsi="Century Gothic"/>
          <w:color w:val="00642D"/>
          <w:sz w:val="30"/>
          <w:szCs w:val="30"/>
        </w:rPr>
      </w:pPr>
    </w:p>
    <w:p w:rsidR="00520631" w:rsidRDefault="00520631">
      <w:pPr>
        <w:rPr>
          <w:b/>
          <w:color w:val="00642D"/>
          <w:sz w:val="30"/>
          <w:szCs w:val="30"/>
        </w:rPr>
      </w:pPr>
      <w:r>
        <w:rPr>
          <w:color w:val="00642D"/>
          <w:sz w:val="30"/>
          <w:szCs w:val="30"/>
        </w:rPr>
        <w:br w:type="page"/>
      </w:r>
    </w:p>
    <w:p w:rsidR="00B40246" w:rsidRPr="00E34195" w:rsidRDefault="006916F7" w:rsidP="000C6CFF">
      <w:pPr>
        <w:pStyle w:val="Titulardelboletn"/>
        <w:spacing w:before="120" w:after="120" w:line="312" w:lineRule="auto"/>
        <w:ind w:left="720" w:hanging="360"/>
        <w:rPr>
          <w:rFonts w:ascii="Century Gothic" w:hAnsi="Century Gothic"/>
          <w:color w:val="00642D"/>
        </w:rPr>
      </w:pPr>
      <w:sdt>
        <w:sdtPr>
          <w:rPr>
            <w:rFonts w:ascii="Century Gothic" w:hAnsi="Century Gothic"/>
            <w:color w:val="00642D"/>
            <w:sz w:val="30"/>
            <w:szCs w:val="30"/>
          </w:rPr>
          <w:id w:val="228783093"/>
          <w:placeholder>
            <w:docPart w:val="7380086C8FAE48A7BA69FB659C705034"/>
          </w:placeholder>
        </w:sdtPr>
        <w:sdtEndPr>
          <w:rPr>
            <w:sz w:val="32"/>
            <w:szCs w:val="24"/>
          </w:rPr>
        </w:sdtEndPr>
        <w:sdtContent>
          <w:r w:rsidR="000C6CFF" w:rsidRPr="00E34195">
            <w:rPr>
              <w:rFonts w:ascii="Century Gothic" w:hAnsi="Century Gothic"/>
              <w:color w:val="00642D"/>
              <w:sz w:val="30"/>
              <w:szCs w:val="30"/>
            </w:rPr>
            <w:t>I. Localización y Estructuración de la Información de Transparencia</w:t>
          </w:r>
        </w:sdtContent>
      </w:sdt>
    </w:p>
    <w:p w:rsidR="000C6CFF" w:rsidRDefault="000C6CFF"/>
    <w:tbl>
      <w:tblPr>
        <w:tblStyle w:val="Tablaconcuadrcula"/>
        <w:tblW w:w="0" w:type="auto"/>
        <w:tblBorders>
          <w:top w:val="single" w:sz="4" w:space="0" w:color="00642D"/>
          <w:left w:val="single" w:sz="4" w:space="0" w:color="00642D"/>
          <w:bottom w:val="single" w:sz="4" w:space="0" w:color="00642D"/>
          <w:right w:val="single" w:sz="4" w:space="0" w:color="00642D"/>
          <w:insideH w:val="single" w:sz="4" w:space="0" w:color="00642D"/>
          <w:insideV w:val="single" w:sz="4" w:space="0" w:color="00642D"/>
        </w:tblBorders>
        <w:tblLook w:val="04A0" w:firstRow="1" w:lastRow="0" w:firstColumn="1" w:lastColumn="0" w:noHBand="0" w:noVBand="1"/>
      </w:tblPr>
      <w:tblGrid>
        <w:gridCol w:w="2235"/>
        <w:gridCol w:w="3969"/>
        <w:gridCol w:w="425"/>
        <w:gridCol w:w="3969"/>
      </w:tblGrid>
      <w:tr w:rsidR="00CB5511" w:rsidRPr="000C6CFF" w:rsidTr="00520631">
        <w:tc>
          <w:tcPr>
            <w:tcW w:w="2235" w:type="dxa"/>
            <w:vMerge w:val="restart"/>
            <w:shd w:val="clear" w:color="auto" w:fill="00642D"/>
            <w:vAlign w:val="center"/>
          </w:tcPr>
          <w:p w:rsidR="00CB5511" w:rsidRPr="00CB5511" w:rsidRDefault="00CB5511" w:rsidP="00CB5511">
            <w:pPr>
              <w:rPr>
                <w:b/>
                <w:color w:val="50866C"/>
              </w:rPr>
            </w:pPr>
            <w:r w:rsidRPr="00E34195">
              <w:rPr>
                <w:b/>
                <w:color w:val="FFFFFF" w:themeColor="background1"/>
              </w:rPr>
              <w:t>Localización de la información de transparencia</w:t>
            </w:r>
          </w:p>
        </w:tc>
        <w:tc>
          <w:tcPr>
            <w:tcW w:w="3969" w:type="dxa"/>
            <w:shd w:val="clear" w:color="auto" w:fill="auto"/>
          </w:tcPr>
          <w:p w:rsidR="00CB5511" w:rsidRPr="000C6CFF" w:rsidRDefault="00CB5511" w:rsidP="00CB5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C6CFF">
              <w:rPr>
                <w:sz w:val="20"/>
                <w:szCs w:val="20"/>
              </w:rPr>
              <w:t>nlace o banner visible en la página home</w:t>
            </w:r>
          </w:p>
        </w:tc>
        <w:tc>
          <w:tcPr>
            <w:tcW w:w="425" w:type="dxa"/>
            <w:vAlign w:val="center"/>
          </w:tcPr>
          <w:p w:rsidR="00CB5511" w:rsidRPr="00CB5511" w:rsidRDefault="0041079E" w:rsidP="00CB5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969" w:type="dxa"/>
            <w:vMerge w:val="restart"/>
            <w:vAlign w:val="center"/>
          </w:tcPr>
          <w:p w:rsidR="00CB5511" w:rsidRPr="000C6CFF" w:rsidRDefault="00C76CB6" w:rsidP="005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Localizado entre los accesos principales situados en la parte </w:t>
            </w:r>
            <w:r w:rsidR="00793725">
              <w:rPr>
                <w:sz w:val="20"/>
                <w:szCs w:val="20"/>
              </w:rPr>
              <w:t>lateral izquierda</w:t>
            </w:r>
            <w:r>
              <w:rPr>
                <w:sz w:val="20"/>
                <w:szCs w:val="20"/>
              </w:rPr>
              <w:t xml:space="preserve"> </w:t>
            </w:r>
            <w:r w:rsidR="0041079E">
              <w:rPr>
                <w:sz w:val="20"/>
                <w:szCs w:val="20"/>
              </w:rPr>
              <w:t>de la página home</w:t>
            </w:r>
          </w:p>
        </w:tc>
      </w:tr>
      <w:tr w:rsidR="00CB5511" w:rsidRPr="000C6CFF" w:rsidTr="00520631">
        <w:tc>
          <w:tcPr>
            <w:tcW w:w="2235" w:type="dxa"/>
            <w:vMerge/>
            <w:shd w:val="clear" w:color="auto" w:fill="00642D"/>
          </w:tcPr>
          <w:p w:rsidR="00CB5511" w:rsidRPr="000C6CFF" w:rsidRDefault="00CB5511" w:rsidP="00CB5511">
            <w:pPr>
              <w:rPr>
                <w:b/>
                <w:color w:val="50866C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B5511" w:rsidRPr="000C6CFF" w:rsidRDefault="00CB5511" w:rsidP="00CB5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Enlace dependiente de un acceso de la página home </w:t>
            </w:r>
          </w:p>
        </w:tc>
        <w:tc>
          <w:tcPr>
            <w:tcW w:w="425" w:type="dxa"/>
            <w:vAlign w:val="center"/>
          </w:tcPr>
          <w:p w:rsidR="00CB5511" w:rsidRPr="00CB5511" w:rsidRDefault="00CB5511" w:rsidP="00CB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B5511" w:rsidRPr="000C6CFF" w:rsidRDefault="00CB5511" w:rsidP="00520631">
            <w:pPr>
              <w:rPr>
                <w:sz w:val="20"/>
                <w:szCs w:val="20"/>
              </w:rPr>
            </w:pPr>
          </w:p>
        </w:tc>
      </w:tr>
      <w:tr w:rsidR="00CB5511" w:rsidRPr="000C6CFF" w:rsidTr="00520631">
        <w:tc>
          <w:tcPr>
            <w:tcW w:w="2235" w:type="dxa"/>
            <w:vMerge/>
            <w:shd w:val="clear" w:color="auto" w:fill="00642D"/>
          </w:tcPr>
          <w:p w:rsidR="00CB5511" w:rsidRPr="000C6CFF" w:rsidRDefault="00CB5511" w:rsidP="00CB5511">
            <w:pPr>
              <w:rPr>
                <w:b/>
                <w:color w:val="50866C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B5511" w:rsidRPr="000C6CFF" w:rsidRDefault="00CB5511" w:rsidP="00CB5511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No existe un apartado específico de transparencia</w:t>
            </w:r>
          </w:p>
        </w:tc>
        <w:tc>
          <w:tcPr>
            <w:tcW w:w="425" w:type="dxa"/>
            <w:vAlign w:val="center"/>
          </w:tcPr>
          <w:p w:rsidR="00CB5511" w:rsidRPr="00CB5511" w:rsidRDefault="00CB5511" w:rsidP="00CB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B5511" w:rsidRPr="000C6CFF" w:rsidRDefault="00CB5511" w:rsidP="00520631">
            <w:pPr>
              <w:rPr>
                <w:sz w:val="20"/>
                <w:szCs w:val="20"/>
              </w:rPr>
            </w:pPr>
          </w:p>
        </w:tc>
      </w:tr>
    </w:tbl>
    <w:p w:rsidR="00CB5511" w:rsidRDefault="00CB5511"/>
    <w:tbl>
      <w:tblPr>
        <w:tblStyle w:val="Tablaconcuadrcula"/>
        <w:tblW w:w="0" w:type="auto"/>
        <w:tblBorders>
          <w:top w:val="single" w:sz="4" w:space="0" w:color="00642D"/>
          <w:left w:val="single" w:sz="4" w:space="0" w:color="00642D"/>
          <w:bottom w:val="single" w:sz="4" w:space="0" w:color="00642D"/>
          <w:right w:val="single" w:sz="4" w:space="0" w:color="00642D"/>
          <w:insideH w:val="single" w:sz="4" w:space="0" w:color="00642D"/>
          <w:insideV w:val="single" w:sz="4" w:space="0" w:color="00642D"/>
        </w:tblBorders>
        <w:tblLook w:val="04A0" w:firstRow="1" w:lastRow="0" w:firstColumn="1" w:lastColumn="0" w:noHBand="0" w:noVBand="1"/>
      </w:tblPr>
      <w:tblGrid>
        <w:gridCol w:w="2235"/>
        <w:gridCol w:w="3969"/>
        <w:gridCol w:w="425"/>
        <w:gridCol w:w="3977"/>
      </w:tblGrid>
      <w:tr w:rsidR="00932008" w:rsidRPr="00932008" w:rsidTr="00520631">
        <w:tc>
          <w:tcPr>
            <w:tcW w:w="2235" w:type="dxa"/>
            <w:vMerge w:val="restart"/>
            <w:shd w:val="clear" w:color="auto" w:fill="00642D"/>
            <w:vAlign w:val="center"/>
          </w:tcPr>
          <w:p w:rsidR="00932008" w:rsidRPr="00E34195" w:rsidRDefault="00932008" w:rsidP="00932008">
            <w:pPr>
              <w:rPr>
                <w:b/>
                <w:color w:val="FFFFFF" w:themeColor="background1"/>
              </w:rPr>
            </w:pPr>
            <w:r w:rsidRPr="00E34195">
              <w:rPr>
                <w:b/>
                <w:color w:val="FFFFFF" w:themeColor="background1"/>
              </w:rPr>
              <w:t>Estructuración de la información de transparencia</w:t>
            </w:r>
          </w:p>
        </w:tc>
        <w:tc>
          <w:tcPr>
            <w:tcW w:w="3969" w:type="dxa"/>
            <w:vAlign w:val="center"/>
          </w:tcPr>
          <w:p w:rsidR="00932008" w:rsidRPr="00932008" w:rsidRDefault="00932008" w:rsidP="00520631">
            <w:pPr>
              <w:rPr>
                <w:sz w:val="20"/>
                <w:szCs w:val="20"/>
              </w:rPr>
            </w:pPr>
            <w:r w:rsidRPr="00932008">
              <w:rPr>
                <w:sz w:val="20"/>
                <w:szCs w:val="20"/>
              </w:rPr>
              <w:t>La información está estructurada conforme al patrón definido por la LTAIBG</w:t>
            </w:r>
          </w:p>
        </w:tc>
        <w:tc>
          <w:tcPr>
            <w:tcW w:w="425" w:type="dxa"/>
            <w:vAlign w:val="center"/>
          </w:tcPr>
          <w:p w:rsidR="00932008" w:rsidRPr="00CB5511" w:rsidRDefault="0041079E" w:rsidP="00CB5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977" w:type="dxa"/>
            <w:vMerge w:val="restart"/>
          </w:tcPr>
          <w:p w:rsidR="00932008" w:rsidRDefault="00213F73" w:rsidP="00FA3DC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Portal organiza la información en tres apartados correspondientes a los bloques de información que establece la LTAIBG.</w:t>
            </w:r>
          </w:p>
          <w:p w:rsidR="00213F73" w:rsidRPr="00932008" w:rsidRDefault="00213F73" w:rsidP="00FA3DC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apartado “Otra información de interés” situado en el lateral derecho del Portal se localiza un enlace para las solicitudes de información pública.</w:t>
            </w:r>
          </w:p>
        </w:tc>
      </w:tr>
      <w:tr w:rsidR="00932008" w:rsidRPr="00932008" w:rsidTr="00520631">
        <w:tc>
          <w:tcPr>
            <w:tcW w:w="2235" w:type="dxa"/>
            <w:vMerge/>
            <w:shd w:val="clear" w:color="auto" w:fill="00642D"/>
          </w:tcPr>
          <w:p w:rsidR="00932008" w:rsidRPr="00932008" w:rsidRDefault="0093200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32008" w:rsidRPr="00932008" w:rsidRDefault="00932008" w:rsidP="00520631">
            <w:pPr>
              <w:rPr>
                <w:sz w:val="20"/>
                <w:szCs w:val="20"/>
              </w:rPr>
            </w:pPr>
            <w:r w:rsidRPr="00932008">
              <w:rPr>
                <w:sz w:val="20"/>
                <w:szCs w:val="20"/>
              </w:rPr>
              <w:t>La información está organizada aunque no se ajusta al patrón definido por la LTAIBG</w:t>
            </w:r>
          </w:p>
        </w:tc>
        <w:tc>
          <w:tcPr>
            <w:tcW w:w="425" w:type="dxa"/>
            <w:vAlign w:val="center"/>
          </w:tcPr>
          <w:p w:rsidR="00932008" w:rsidRPr="00CB5511" w:rsidRDefault="00932008" w:rsidP="00CB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932008" w:rsidRPr="00932008" w:rsidRDefault="00932008">
            <w:pPr>
              <w:rPr>
                <w:sz w:val="20"/>
                <w:szCs w:val="20"/>
              </w:rPr>
            </w:pPr>
          </w:p>
        </w:tc>
      </w:tr>
      <w:tr w:rsidR="00932008" w:rsidRPr="00932008" w:rsidTr="00520631">
        <w:tc>
          <w:tcPr>
            <w:tcW w:w="2235" w:type="dxa"/>
            <w:vMerge/>
            <w:shd w:val="clear" w:color="auto" w:fill="00642D"/>
          </w:tcPr>
          <w:p w:rsidR="00932008" w:rsidRPr="00932008" w:rsidRDefault="0093200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32008" w:rsidRPr="00932008" w:rsidRDefault="00932008" w:rsidP="00520631">
            <w:pPr>
              <w:rPr>
                <w:sz w:val="20"/>
                <w:szCs w:val="20"/>
              </w:rPr>
            </w:pPr>
            <w:r w:rsidRPr="00932008">
              <w:rPr>
                <w:sz w:val="20"/>
                <w:szCs w:val="20"/>
              </w:rPr>
              <w:t>la información se presenta dispersa sin agrupación ni ordenación alguna</w:t>
            </w:r>
          </w:p>
        </w:tc>
        <w:tc>
          <w:tcPr>
            <w:tcW w:w="425" w:type="dxa"/>
            <w:vAlign w:val="center"/>
          </w:tcPr>
          <w:p w:rsidR="00932008" w:rsidRPr="00CB5511" w:rsidRDefault="00932008" w:rsidP="00CB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932008" w:rsidRPr="00932008" w:rsidRDefault="00932008">
            <w:pPr>
              <w:rPr>
                <w:sz w:val="20"/>
                <w:szCs w:val="20"/>
              </w:rPr>
            </w:pPr>
          </w:p>
        </w:tc>
      </w:tr>
    </w:tbl>
    <w:p w:rsidR="00561402" w:rsidRDefault="00561402"/>
    <w:p w:rsidR="00FA3DC3" w:rsidRDefault="00FA3DC3" w:rsidP="00FA3DC3">
      <w:pPr>
        <w:jc w:val="center"/>
      </w:pPr>
      <w:r>
        <w:rPr>
          <w:noProof/>
        </w:rPr>
        <w:drawing>
          <wp:inline distT="0" distB="0" distL="0" distR="0" wp14:anchorId="167D53E7" wp14:editId="49AD2E76">
            <wp:extent cx="3384000" cy="4795396"/>
            <wp:effectExtent l="0" t="0" r="6985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1884" t="7359" r="33067" b="4329"/>
                    <a:stretch/>
                  </pic:blipFill>
                  <pic:spPr bwMode="auto">
                    <a:xfrm>
                      <a:off x="0" y="0"/>
                      <a:ext cx="3384000" cy="4795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DC3" w:rsidRDefault="00FA3DC3"/>
    <w:p w:rsidR="00561402" w:rsidRDefault="00561402">
      <w:r>
        <w:br w:type="page"/>
      </w:r>
    </w:p>
    <w:p w:rsidR="00932008" w:rsidRPr="00C33A23" w:rsidRDefault="00561402" w:rsidP="00932008">
      <w:pPr>
        <w:pStyle w:val="Cuerpodelboletn"/>
        <w:numPr>
          <w:ilvl w:val="0"/>
          <w:numId w:val="1"/>
        </w:numPr>
        <w:spacing w:before="120" w:after="120" w:line="312" w:lineRule="auto"/>
        <w:rPr>
          <w:b/>
          <w:color w:val="00642D"/>
          <w:sz w:val="32"/>
        </w:rPr>
      </w:pPr>
      <w:r>
        <w:rPr>
          <w:b/>
          <w:color w:val="00642D"/>
          <w:sz w:val="32"/>
        </w:rPr>
        <w:lastRenderedPageBreak/>
        <w:t>C</w:t>
      </w:r>
      <w:r w:rsidR="00932008" w:rsidRPr="00C33A23">
        <w:rPr>
          <w:b/>
          <w:color w:val="00642D"/>
          <w:sz w:val="32"/>
        </w:rPr>
        <w:t>umplimiento de las obligaciones de publicidad activa</w:t>
      </w:r>
    </w:p>
    <w:p w:rsidR="00932008" w:rsidRPr="00C33A23" w:rsidRDefault="00E3088D" w:rsidP="00E3088D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C33A23">
        <w:rPr>
          <w:rStyle w:val="Ttulo2Car"/>
          <w:color w:val="00642D"/>
          <w:lang w:bidi="es-ES"/>
        </w:rPr>
        <w:t>II.1 Información Institucional</w:t>
      </w:r>
      <w:r w:rsidR="001561A4" w:rsidRPr="00C33A23">
        <w:rPr>
          <w:rStyle w:val="Ttulo2Car"/>
          <w:color w:val="00642D"/>
          <w:lang w:bidi="es-ES"/>
        </w:rPr>
        <w:t>,</w:t>
      </w:r>
      <w:r w:rsidRPr="00C33A23">
        <w:rPr>
          <w:rStyle w:val="Ttulo2Car"/>
          <w:color w:val="00642D"/>
          <w:lang w:bidi="es-ES"/>
        </w:rPr>
        <w:t xml:space="preserve"> Organizativa</w:t>
      </w:r>
      <w:r w:rsidR="001561A4" w:rsidRPr="00C33A23">
        <w:rPr>
          <w:rStyle w:val="Ttulo2Car"/>
          <w:color w:val="00642D"/>
          <w:lang w:bidi="es-ES"/>
        </w:rPr>
        <w:t xml:space="preserve"> y de Planificación</w:t>
      </w:r>
      <w:r w:rsidRPr="00C33A23">
        <w:rPr>
          <w:rStyle w:val="Ttulo2Car"/>
          <w:color w:val="00642D"/>
          <w:lang w:bidi="es-ES"/>
        </w:rPr>
        <w:t>.</w:t>
      </w:r>
      <w:r w:rsidRPr="00C33A23">
        <w:rPr>
          <w:color w:val="00642D"/>
          <w:lang w:bidi="es-ES"/>
        </w:rPr>
        <w:t xml:space="preserve"> </w:t>
      </w:r>
    </w:p>
    <w:tbl>
      <w:tblPr>
        <w:tblStyle w:val="Tablaconcuadrcul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1"/>
        <w:gridCol w:w="1905"/>
        <w:gridCol w:w="789"/>
        <w:gridCol w:w="6037"/>
      </w:tblGrid>
      <w:tr w:rsidR="00E34195" w:rsidRPr="00E34195" w:rsidTr="00520631">
        <w:trPr>
          <w:cantSplit/>
          <w:trHeight w:val="1350"/>
          <w:tblHeader/>
        </w:trPr>
        <w:tc>
          <w:tcPr>
            <w:tcW w:w="1591" w:type="dxa"/>
            <w:shd w:val="clear" w:color="auto" w:fill="00642D"/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Grupo de obligaciones</w:t>
            </w:r>
          </w:p>
        </w:tc>
        <w:tc>
          <w:tcPr>
            <w:tcW w:w="1905" w:type="dxa"/>
            <w:tcBorders>
              <w:bottom w:val="single" w:sz="4" w:space="0" w:color="00642D"/>
            </w:tcBorders>
            <w:shd w:val="clear" w:color="auto" w:fill="00642D"/>
            <w:vAlign w:val="center"/>
          </w:tcPr>
          <w:p w:rsidR="00E34195" w:rsidRPr="00E34195" w:rsidRDefault="00E34195" w:rsidP="00520631">
            <w:pPr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Obligación</w:t>
            </w:r>
          </w:p>
        </w:tc>
        <w:tc>
          <w:tcPr>
            <w:tcW w:w="789" w:type="dxa"/>
            <w:tcBorders>
              <w:bottom w:val="single" w:sz="4" w:space="0" w:color="00642D"/>
            </w:tcBorders>
            <w:shd w:val="clear" w:color="auto" w:fill="00642D"/>
            <w:textDirection w:val="btLr"/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Publicada</w:t>
            </w:r>
          </w:p>
        </w:tc>
        <w:tc>
          <w:tcPr>
            <w:tcW w:w="6037" w:type="dxa"/>
            <w:tcBorders>
              <w:bottom w:val="single" w:sz="4" w:space="0" w:color="00642D"/>
            </w:tcBorders>
            <w:shd w:val="clear" w:color="auto" w:fill="00642D"/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Observaciones</w:t>
            </w:r>
          </w:p>
        </w:tc>
      </w:tr>
      <w:tr w:rsidR="00E34195" w:rsidRPr="00CB5511" w:rsidTr="00520631">
        <w:tc>
          <w:tcPr>
            <w:tcW w:w="1591" w:type="dxa"/>
            <w:vMerge w:val="restart"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Información Institucional</w:t>
            </w:r>
          </w:p>
        </w:tc>
        <w:tc>
          <w:tcPr>
            <w:tcW w:w="1905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CB5511" w:rsidRDefault="00E34195" w:rsidP="00520631">
            <w:pP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CB5511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Normativa aplicable</w:t>
            </w:r>
          </w:p>
        </w:tc>
        <w:tc>
          <w:tcPr>
            <w:tcW w:w="78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41079E" w:rsidP="0041079E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 w:rsidRPr="0041079E"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603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E34195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</w:p>
        </w:tc>
      </w:tr>
      <w:tr w:rsidR="00E34195" w:rsidRPr="00CB5511" w:rsidTr="00520631">
        <w:trPr>
          <w:trHeight w:val="325"/>
        </w:trPr>
        <w:tc>
          <w:tcPr>
            <w:tcW w:w="1591" w:type="dxa"/>
            <w:vMerge/>
            <w:tcBorders>
              <w:right w:val="single" w:sz="4" w:space="0" w:color="00642D"/>
            </w:tcBorders>
            <w:shd w:val="clear" w:color="auto" w:fill="00642D"/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1905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CB5511" w:rsidRDefault="00E34195" w:rsidP="00520631">
            <w:pP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CB5511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Funciones</w:t>
            </w:r>
          </w:p>
        </w:tc>
        <w:tc>
          <w:tcPr>
            <w:tcW w:w="78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41079E" w:rsidP="0041079E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603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793725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La información se publica sobre la web.</w:t>
            </w:r>
          </w:p>
        </w:tc>
      </w:tr>
      <w:tr w:rsidR="00E34195" w:rsidRPr="00CB5511" w:rsidTr="00520631">
        <w:tc>
          <w:tcPr>
            <w:tcW w:w="1591" w:type="dxa"/>
            <w:vMerge/>
            <w:tcBorders>
              <w:right w:val="single" w:sz="4" w:space="0" w:color="00642D"/>
            </w:tcBorders>
            <w:shd w:val="clear" w:color="auto" w:fill="00642D"/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1905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CB5511" w:rsidRDefault="00E34195" w:rsidP="00520631">
            <w:pP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CB5511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Registro de Actividades de Tratamiento</w:t>
            </w:r>
          </w:p>
        </w:tc>
        <w:tc>
          <w:tcPr>
            <w:tcW w:w="78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E34195" w:rsidP="0041079E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</w:p>
        </w:tc>
        <w:tc>
          <w:tcPr>
            <w:tcW w:w="603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793725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793725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La información se publica sobre la web.</w:t>
            </w:r>
          </w:p>
        </w:tc>
      </w:tr>
      <w:tr w:rsidR="00E34195" w:rsidRPr="00CB5511" w:rsidTr="00520631">
        <w:tc>
          <w:tcPr>
            <w:tcW w:w="1591" w:type="dxa"/>
            <w:vMerge w:val="restart"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Información Organizativa</w:t>
            </w:r>
          </w:p>
        </w:tc>
        <w:tc>
          <w:tcPr>
            <w:tcW w:w="1905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CB5511" w:rsidRDefault="00E34195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Descripción estructura organizativa</w:t>
            </w:r>
          </w:p>
        </w:tc>
        <w:tc>
          <w:tcPr>
            <w:tcW w:w="78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D02414" w:rsidP="0041079E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603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843094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Se informa sobre la estructura territorial del Banco.</w:t>
            </w:r>
          </w:p>
        </w:tc>
      </w:tr>
      <w:tr w:rsidR="00E34195" w:rsidRPr="00CB5511" w:rsidTr="00520631">
        <w:tc>
          <w:tcPr>
            <w:tcW w:w="1591" w:type="dxa"/>
            <w:vMerge/>
            <w:tcBorders>
              <w:right w:val="single" w:sz="4" w:space="0" w:color="00642D"/>
            </w:tcBorders>
            <w:shd w:val="clear" w:color="auto" w:fill="00642D"/>
            <w:vAlign w:val="center"/>
          </w:tcPr>
          <w:p w:rsidR="00E34195" w:rsidRPr="00CB5511" w:rsidRDefault="00E34195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sz w:val="20"/>
                <w:szCs w:val="20"/>
                <w:lang w:bidi="es-ES"/>
              </w:rPr>
            </w:pPr>
          </w:p>
        </w:tc>
        <w:tc>
          <w:tcPr>
            <w:tcW w:w="1905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Organigrama</w:t>
            </w:r>
          </w:p>
        </w:tc>
        <w:tc>
          <w:tcPr>
            <w:tcW w:w="78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D02414" w:rsidP="0041079E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603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843094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Los elementos del organigrama enlazan a páginas que informan de las funciones de las distintas unidades</w:t>
            </w:r>
          </w:p>
        </w:tc>
      </w:tr>
      <w:tr w:rsidR="00E34195" w:rsidRPr="00CB5511" w:rsidTr="00520631">
        <w:tc>
          <w:tcPr>
            <w:tcW w:w="1591" w:type="dxa"/>
            <w:vMerge/>
            <w:tcBorders>
              <w:right w:val="single" w:sz="4" w:space="0" w:color="00642D"/>
            </w:tcBorders>
            <w:shd w:val="clear" w:color="auto" w:fill="00642D"/>
            <w:vAlign w:val="center"/>
          </w:tcPr>
          <w:p w:rsidR="00E34195" w:rsidRPr="00CB5511" w:rsidRDefault="00E34195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sz w:val="20"/>
                <w:szCs w:val="20"/>
                <w:lang w:bidi="es-ES"/>
              </w:rPr>
            </w:pPr>
          </w:p>
        </w:tc>
        <w:tc>
          <w:tcPr>
            <w:tcW w:w="1905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Identificación Responsables</w:t>
            </w:r>
          </w:p>
        </w:tc>
        <w:tc>
          <w:tcPr>
            <w:tcW w:w="78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D02414" w:rsidP="0041079E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603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843094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Se identifica a los Directores Generales y responsables de las áreas dependientes de </w:t>
            </w:r>
            <w:r w:rsidR="006F5866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las Direcciones Generales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. </w:t>
            </w:r>
          </w:p>
        </w:tc>
      </w:tr>
      <w:tr w:rsidR="00E34195" w:rsidRPr="00CB5511" w:rsidTr="00520631">
        <w:tc>
          <w:tcPr>
            <w:tcW w:w="1591" w:type="dxa"/>
            <w:vMerge/>
            <w:tcBorders>
              <w:right w:val="single" w:sz="4" w:space="0" w:color="00642D"/>
            </w:tcBorders>
            <w:shd w:val="clear" w:color="auto" w:fill="00642D"/>
            <w:vAlign w:val="center"/>
          </w:tcPr>
          <w:p w:rsidR="00E34195" w:rsidRPr="00CB5511" w:rsidRDefault="00E34195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sz w:val="20"/>
                <w:szCs w:val="20"/>
                <w:lang w:bidi="es-ES"/>
              </w:rPr>
            </w:pPr>
          </w:p>
        </w:tc>
        <w:tc>
          <w:tcPr>
            <w:tcW w:w="1905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E34195" w:rsidRDefault="00E34195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Perfil y trayectoria profesional responsables</w:t>
            </w:r>
          </w:p>
        </w:tc>
        <w:tc>
          <w:tcPr>
            <w:tcW w:w="78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D02414" w:rsidP="0041079E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603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E34195" w:rsidRPr="0041079E" w:rsidRDefault="001A4A7C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1A4A7C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La información se publica sobre la web.</w:t>
            </w:r>
          </w:p>
        </w:tc>
      </w:tr>
    </w:tbl>
    <w:p w:rsidR="00520631" w:rsidRDefault="00520631" w:rsidP="001561A4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</w:p>
    <w:p w:rsidR="00520631" w:rsidRDefault="00520631">
      <w:pPr>
        <w:rPr>
          <w:rStyle w:val="Ttulo2Car"/>
          <w:color w:val="00642D"/>
          <w:lang w:bidi="es-ES"/>
        </w:rPr>
      </w:pPr>
      <w:r>
        <w:rPr>
          <w:rStyle w:val="Ttulo2Car"/>
          <w:color w:val="00642D"/>
          <w:lang w:bidi="es-ES"/>
        </w:rPr>
        <w:br w:type="page"/>
      </w:r>
    </w:p>
    <w:p w:rsidR="001561A4" w:rsidRPr="00C33A23" w:rsidRDefault="001561A4" w:rsidP="001561A4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C33A23">
        <w:rPr>
          <w:rStyle w:val="Ttulo2Car"/>
          <w:color w:val="00642D"/>
          <w:lang w:bidi="es-ES"/>
        </w:rPr>
        <w:lastRenderedPageBreak/>
        <w:t>Análisis de la información Institucional, Organizativa y de Planificación</w:t>
      </w:r>
    </w:p>
    <w:p w:rsidR="001561A4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  <w:r w:rsidRPr="006A2766">
        <w:rPr>
          <w:rStyle w:val="Ttulo2Car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C4D2F" wp14:editId="10DA0D32">
                <wp:simplePos x="0" y="0"/>
                <wp:positionH relativeFrom="column">
                  <wp:posOffset>236855</wp:posOffset>
                </wp:positionH>
                <wp:positionV relativeFrom="paragraph">
                  <wp:posOffset>161925</wp:posOffset>
                </wp:positionV>
                <wp:extent cx="5509523" cy="1403985"/>
                <wp:effectExtent l="0" t="0" r="1524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5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DB" w:rsidRDefault="009771DB" w:rsidP="00B579C7">
                            <w:pPr>
                              <w:rPr>
                                <w:b/>
                                <w:color w:val="00642D"/>
                              </w:rPr>
                            </w:pPr>
                            <w:r w:rsidRPr="00BD4582">
                              <w:rPr>
                                <w:b/>
                                <w:color w:val="00642D"/>
                              </w:rPr>
                              <w:t>Contenidos</w:t>
                            </w:r>
                          </w:p>
                          <w:p w:rsidR="009771DB" w:rsidRPr="00F501F9" w:rsidRDefault="009771DB" w:rsidP="00B579C7">
                            <w:pPr>
                              <w:jc w:val="both"/>
                            </w:pPr>
                            <w:r w:rsidRPr="00F501F9">
                              <w:t xml:space="preserve">La </w:t>
                            </w:r>
                            <w:r>
                              <w:t>información publicada recoge la totalidad de los contenidos obligatorios establecidos en los artículos 6 y 6 bis de la LTAIBG.</w:t>
                            </w:r>
                          </w:p>
                          <w:p w:rsidR="009771DB" w:rsidRDefault="009771DB" w:rsidP="00B579C7">
                            <w:pPr>
                              <w:rPr>
                                <w:b/>
                                <w:color w:val="00642D"/>
                              </w:rPr>
                            </w:pPr>
                            <w:r>
                              <w:rPr>
                                <w:b/>
                                <w:color w:val="00642D"/>
                              </w:rPr>
                              <w:t>Calidad de la Información</w:t>
                            </w:r>
                          </w:p>
                          <w:p w:rsidR="009771DB" w:rsidRDefault="009771DB" w:rsidP="00B579C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 w:rsidRPr="00B25C07">
                              <w:t>La información relativa a funciones, descripción de la estructura organizativa</w:t>
                            </w:r>
                            <w:r>
                              <w:t>,</w:t>
                            </w:r>
                            <w:r w:rsidRPr="00B25C07">
                              <w:t xml:space="preserve"> </w:t>
                            </w:r>
                            <w:r>
                              <w:t xml:space="preserve">trayectoria profesional de altos cargos y máximos responsables y el Registro de Actividades de Tratamiento, </w:t>
                            </w:r>
                            <w:r w:rsidRPr="00B25C07">
                              <w:t xml:space="preserve">se publica </w:t>
                            </w:r>
                            <w:r>
                              <w:t>sobre la web por lo que no puede considerarse que cumpla el criterio de reutilización.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18.65pt;margin-top:12.75pt;width:433.8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">
                <v:textbox style="mso-fit-shape-to-text:t">
                  <w:txbxContent>
                    <w:p w:rsidR="009771DB" w:rsidRDefault="009771DB" w:rsidP="00B579C7">
                      <w:pPr>
                        <w:rPr>
                          <w:b/>
                          <w:color w:val="00642D"/>
                        </w:rPr>
                      </w:pPr>
                      <w:r w:rsidRPr="00BD4582">
                        <w:rPr>
                          <w:b/>
                          <w:color w:val="00642D"/>
                        </w:rPr>
                        <w:t>Contenidos</w:t>
                      </w:r>
                    </w:p>
                    <w:p w:rsidR="009771DB" w:rsidRPr="00F501F9" w:rsidRDefault="009771DB" w:rsidP="00B579C7">
                      <w:pPr>
                        <w:jc w:val="both"/>
                      </w:pPr>
                      <w:r w:rsidRPr="00F501F9">
                        <w:t xml:space="preserve">La </w:t>
                      </w:r>
                      <w:r>
                        <w:t>información publicada recoge la totalidad de los contenidos obligatorios establecidos en los artículos 6 y 6 bis de la LTAIBG.</w:t>
                      </w:r>
                    </w:p>
                    <w:p w:rsidR="009771DB" w:rsidRDefault="009771DB" w:rsidP="00B579C7">
                      <w:pPr>
                        <w:rPr>
                          <w:b/>
                          <w:color w:val="00642D"/>
                        </w:rPr>
                      </w:pPr>
                      <w:r>
                        <w:rPr>
                          <w:b/>
                          <w:color w:val="00642D"/>
                        </w:rPr>
                        <w:t>Calidad de la Información</w:t>
                      </w:r>
                    </w:p>
                    <w:p w:rsidR="009771DB" w:rsidRDefault="009771DB" w:rsidP="00B579C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 w:rsidRPr="00B25C07">
                        <w:t>La información relativa a funciones, descripción de la estructura organizativa</w:t>
                      </w:r>
                      <w:r>
                        <w:t>,</w:t>
                      </w:r>
                      <w:r w:rsidRPr="00B25C07">
                        <w:t xml:space="preserve"> </w:t>
                      </w:r>
                      <w:r>
                        <w:t xml:space="preserve">trayectoria profesional de altos cargos y máximos responsables y el Registro de Actividades de Tratamiento, </w:t>
                      </w:r>
                      <w:r w:rsidRPr="00B25C07">
                        <w:t xml:space="preserve">se publica </w:t>
                      </w:r>
                      <w:r>
                        <w:t>sobre la web por lo que no puede considerarse que cumpla el criterio de reutilización.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B579C7" w:rsidRDefault="00B579C7" w:rsidP="001561A4">
      <w:pPr>
        <w:pStyle w:val="Cuerpodelboletn"/>
        <w:spacing w:before="120" w:after="120" w:line="312" w:lineRule="auto"/>
        <w:ind w:left="360"/>
        <w:rPr>
          <w:b/>
          <w:color w:val="00642D"/>
          <w:szCs w:val="22"/>
        </w:rPr>
      </w:pPr>
    </w:p>
    <w:p w:rsidR="00C33A23" w:rsidRDefault="00C33A23">
      <w:pPr>
        <w:rPr>
          <w:rStyle w:val="Ttulo2Car"/>
          <w:lang w:bidi="es-ES"/>
        </w:rPr>
      </w:pPr>
      <w:r>
        <w:rPr>
          <w:rStyle w:val="Ttulo2Car"/>
          <w:lang w:bidi="es-ES"/>
        </w:rPr>
        <w:br w:type="page"/>
      </w:r>
    </w:p>
    <w:p w:rsidR="00C33A23" w:rsidRPr="00C33A23" w:rsidRDefault="00C33A23" w:rsidP="00C33A23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C33A23">
        <w:rPr>
          <w:rStyle w:val="Ttulo2Car"/>
          <w:color w:val="00642D"/>
          <w:lang w:bidi="es-ES"/>
        </w:rPr>
        <w:lastRenderedPageBreak/>
        <w:t>II.</w:t>
      </w:r>
      <w:r>
        <w:rPr>
          <w:rStyle w:val="Ttulo2Car"/>
          <w:color w:val="00642D"/>
          <w:lang w:bidi="es-ES"/>
        </w:rPr>
        <w:t>3</w:t>
      </w:r>
      <w:r w:rsidRPr="00C33A23">
        <w:rPr>
          <w:rStyle w:val="Ttulo2Car"/>
          <w:color w:val="00642D"/>
          <w:lang w:bidi="es-ES"/>
        </w:rPr>
        <w:t xml:space="preserve"> Información </w:t>
      </w:r>
      <w:r>
        <w:rPr>
          <w:rStyle w:val="Ttulo2Car"/>
          <w:color w:val="00642D"/>
          <w:lang w:bidi="es-ES"/>
        </w:rPr>
        <w:t>Económica, Presupuestaria y Estadística</w:t>
      </w:r>
      <w:r w:rsidRPr="00C33A23">
        <w:rPr>
          <w:rStyle w:val="Ttulo2Car"/>
          <w:color w:val="00642D"/>
          <w:lang w:bidi="es-ES"/>
        </w:rPr>
        <w:t>.</w:t>
      </w:r>
      <w:r w:rsidRPr="00C33A23">
        <w:rPr>
          <w:color w:val="00642D"/>
          <w:lang w:bidi="es-ES"/>
        </w:rPr>
        <w:t xml:space="preserve"> </w:t>
      </w:r>
    </w:p>
    <w:p w:rsidR="00C33A23" w:rsidRDefault="00C33A23" w:rsidP="00C33A23">
      <w:pPr>
        <w:pStyle w:val="Cuerpodelboletn"/>
        <w:spacing w:before="120" w:after="120" w:line="312" w:lineRule="auto"/>
        <w:ind w:left="360"/>
        <w:rPr>
          <w:rStyle w:val="Ttulo2Car"/>
          <w:lang w:bidi="es-ES"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3402"/>
        <w:gridCol w:w="567"/>
        <w:gridCol w:w="5329"/>
      </w:tblGrid>
      <w:tr w:rsidR="00C33A23" w:rsidRPr="00E34195" w:rsidTr="00520631">
        <w:trPr>
          <w:cantSplit/>
          <w:trHeight w:val="1612"/>
          <w:tblHeader/>
        </w:trPr>
        <w:tc>
          <w:tcPr>
            <w:tcW w:w="1024" w:type="dxa"/>
            <w:shd w:val="clear" w:color="auto" w:fill="00642D"/>
            <w:textDirection w:val="btLr"/>
            <w:vAlign w:val="center"/>
          </w:tcPr>
          <w:p w:rsidR="00C33A23" w:rsidRPr="00E34195" w:rsidRDefault="00C33A23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Bloque de Obligaciones</w:t>
            </w:r>
          </w:p>
        </w:tc>
        <w:tc>
          <w:tcPr>
            <w:tcW w:w="3402" w:type="dxa"/>
            <w:tcBorders>
              <w:bottom w:val="single" w:sz="4" w:space="0" w:color="00642D"/>
            </w:tcBorders>
            <w:shd w:val="clear" w:color="auto" w:fill="00642D"/>
            <w:textDirection w:val="btLr"/>
            <w:vAlign w:val="center"/>
          </w:tcPr>
          <w:p w:rsidR="00C33A23" w:rsidRPr="00E34195" w:rsidRDefault="00C33A23" w:rsidP="00520631">
            <w:pPr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Obligación</w:t>
            </w:r>
          </w:p>
        </w:tc>
        <w:tc>
          <w:tcPr>
            <w:tcW w:w="567" w:type="dxa"/>
            <w:tcBorders>
              <w:bottom w:val="single" w:sz="4" w:space="0" w:color="00642D"/>
            </w:tcBorders>
            <w:shd w:val="clear" w:color="auto" w:fill="00642D"/>
            <w:textDirection w:val="btLr"/>
            <w:vAlign w:val="center"/>
          </w:tcPr>
          <w:p w:rsidR="00C33A23" w:rsidRPr="00E34195" w:rsidRDefault="00C33A23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Publicada</w:t>
            </w:r>
          </w:p>
        </w:tc>
        <w:tc>
          <w:tcPr>
            <w:tcW w:w="5329" w:type="dxa"/>
            <w:tcBorders>
              <w:bottom w:val="single" w:sz="4" w:space="0" w:color="00642D"/>
            </w:tcBorders>
            <w:shd w:val="clear" w:color="auto" w:fill="00642D"/>
            <w:vAlign w:val="center"/>
          </w:tcPr>
          <w:p w:rsidR="00C33A23" w:rsidRPr="00E34195" w:rsidRDefault="00C33A23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 w:rsidRPr="00E34195"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Observaciones</w:t>
            </w:r>
          </w:p>
        </w:tc>
      </w:tr>
      <w:tr w:rsidR="00C33A23" w:rsidRPr="00CB5511" w:rsidTr="00520631">
        <w:tc>
          <w:tcPr>
            <w:tcW w:w="1024" w:type="dxa"/>
            <w:vMerge w:val="restart"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C33A23" w:rsidRPr="00E34195" w:rsidRDefault="00C33A23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Contratos</w:t>
            </w: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CB5511" w:rsidRDefault="00C33A23" w:rsidP="00520631">
            <w:pP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C33A23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Contratos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 adjudicados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1A3DBA" w:rsidP="001A3DBA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8A47AF" w:rsidRDefault="000A6B02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sz w:val="20"/>
                <w:szCs w:val="20"/>
                <w:lang w:bidi="es-ES"/>
              </w:rPr>
            </w:pPr>
            <w:r w:rsidRPr="000A6B02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A través del enlace 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“Contrataciones” situado el menú lateral derecho de la página que abre el enlace “Contrataciones” del Portal de Transparencia se accede al Perfil del Contratante del </w:t>
            </w:r>
            <w:proofErr w:type="spellStart"/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BdE</w:t>
            </w:r>
            <w:proofErr w:type="spellEnd"/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 en la Plataforma de Contratación del Sector Público</w:t>
            </w:r>
          </w:p>
        </w:tc>
      </w:tr>
      <w:tr w:rsidR="00C33A23" w:rsidRPr="00CB5511" w:rsidTr="00520631">
        <w:tc>
          <w:tcPr>
            <w:tcW w:w="1024" w:type="dxa"/>
            <w:vMerge/>
            <w:tcBorders>
              <w:right w:val="single" w:sz="4" w:space="0" w:color="00642D"/>
            </w:tcBorders>
            <w:shd w:val="clear" w:color="auto" w:fill="00642D"/>
            <w:vAlign w:val="center"/>
          </w:tcPr>
          <w:p w:rsidR="00C33A23" w:rsidRPr="00E34195" w:rsidRDefault="00C33A23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6A2766" w:rsidRDefault="00C33A23" w:rsidP="00520631">
            <w:pP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C33A23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Modificaciones  de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 contratos 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B25475" w:rsidP="001A3DBA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0A6B02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0A6B02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La información </w:t>
            </w:r>
            <w:r w:rsidR="00D6381F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se publica sobre la web</w:t>
            </w:r>
          </w:p>
        </w:tc>
      </w:tr>
      <w:tr w:rsidR="00C33A23" w:rsidRPr="00CB5511" w:rsidTr="00520631">
        <w:tc>
          <w:tcPr>
            <w:tcW w:w="1024" w:type="dxa"/>
            <w:vMerge/>
            <w:tcBorders>
              <w:right w:val="single" w:sz="4" w:space="0" w:color="00642D"/>
            </w:tcBorders>
            <w:shd w:val="clear" w:color="auto" w:fill="00642D"/>
            <w:vAlign w:val="center"/>
          </w:tcPr>
          <w:p w:rsidR="00C33A23" w:rsidRPr="00E34195" w:rsidRDefault="00C33A23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6A2766" w:rsidRDefault="00C33A23" w:rsidP="00520631">
            <w:pP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Desistimientos y Renuncias 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B579C7" w:rsidP="001A3DBA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0A6B02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No se ha localizado ningún contrato desistido en la Plataforma de Contratación del Sector Público.</w:t>
            </w:r>
          </w:p>
        </w:tc>
      </w:tr>
      <w:tr w:rsidR="00C33A23" w:rsidRPr="00CB5511" w:rsidTr="00520631">
        <w:tc>
          <w:tcPr>
            <w:tcW w:w="1024" w:type="dxa"/>
            <w:vMerge/>
            <w:tcBorders>
              <w:right w:val="single" w:sz="4" w:space="0" w:color="00642D"/>
            </w:tcBorders>
            <w:shd w:val="clear" w:color="auto" w:fill="00642D"/>
            <w:vAlign w:val="center"/>
          </w:tcPr>
          <w:p w:rsidR="00C33A23" w:rsidRPr="00E34195" w:rsidRDefault="00C33A23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6A2766" w:rsidRDefault="00C33A23" w:rsidP="00520631">
            <w:pP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Datos estadísticos sobre contratos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1A3DBA" w:rsidP="001A3DBA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0A6B02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La información publicada corresponde a los años 20</w:t>
            </w:r>
            <w:r w:rsidR="000D75C8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18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 y 20</w:t>
            </w:r>
            <w:r w:rsidR="000D75C8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19</w:t>
            </w:r>
            <w:r w:rsidR="00D6381F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.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 </w:t>
            </w:r>
          </w:p>
        </w:tc>
      </w:tr>
      <w:tr w:rsidR="00C33A23" w:rsidRPr="00CB5511" w:rsidTr="00520631">
        <w:tc>
          <w:tcPr>
            <w:tcW w:w="1024" w:type="dxa"/>
            <w:vMerge/>
            <w:tcBorders>
              <w:right w:val="single" w:sz="4" w:space="0" w:color="00642D"/>
            </w:tcBorders>
            <w:shd w:val="clear" w:color="auto" w:fill="00642D"/>
            <w:vAlign w:val="center"/>
          </w:tcPr>
          <w:p w:rsidR="00C33A23" w:rsidRPr="00E34195" w:rsidRDefault="00C33A23" w:rsidP="00520631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6A2766" w:rsidRDefault="00C33A23" w:rsidP="00520631">
            <w:pP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Contratos Menores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1A3DBA" w:rsidP="001A3DBA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C33A23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</w:p>
        </w:tc>
      </w:tr>
      <w:tr w:rsidR="00C33A23" w:rsidRPr="00CB5511" w:rsidTr="00520631">
        <w:trPr>
          <w:trHeight w:val="1388"/>
        </w:trPr>
        <w:tc>
          <w:tcPr>
            <w:tcW w:w="1024" w:type="dxa"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C33A23" w:rsidRPr="00E34195" w:rsidRDefault="009609E9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Convenios</w:t>
            </w: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CB5511" w:rsidRDefault="009609E9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sz w:val="20"/>
                <w:szCs w:val="20"/>
                <w:lang w:bidi="es-ES"/>
              </w:rPr>
            </w:pPr>
            <w:r w:rsidRPr="009609E9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Relación de los convenios suscritos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6D62DB" w:rsidP="001A3DBA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 xml:space="preserve">X 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C33A23" w:rsidRPr="001A3DBA" w:rsidRDefault="00D6381F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No se incluye información sobre modificaciones de convenios</w:t>
            </w:r>
          </w:p>
        </w:tc>
      </w:tr>
      <w:tr w:rsidR="009609E9" w:rsidRPr="00CB5511" w:rsidTr="00520631">
        <w:trPr>
          <w:trHeight w:val="1675"/>
        </w:trPr>
        <w:tc>
          <w:tcPr>
            <w:tcW w:w="1024" w:type="dxa"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9609E9" w:rsidRDefault="003F271E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Subvenciones</w:t>
            </w: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9609E9" w:rsidRDefault="003F271E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Subvenciones y ayudas públicas concedidas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9609E9" w:rsidRPr="001A3DBA" w:rsidRDefault="006F5866" w:rsidP="001A3DBA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9609E9" w:rsidRPr="001A3DBA" w:rsidRDefault="009609E9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</w:p>
        </w:tc>
      </w:tr>
      <w:tr w:rsidR="00F47C3B" w:rsidRPr="00CB5511" w:rsidTr="00520631">
        <w:trPr>
          <w:trHeight w:val="940"/>
        </w:trPr>
        <w:tc>
          <w:tcPr>
            <w:tcW w:w="1024" w:type="dxa"/>
            <w:vMerge w:val="restart"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F47C3B" w:rsidRDefault="00F47C3B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Presupuestos</w:t>
            </w: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Default="00F47C3B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Presupuestos</w:t>
            </w:r>
          </w:p>
          <w:p w:rsidR="00F47C3B" w:rsidRDefault="00F47C3B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Pr="001A3DBA" w:rsidRDefault="00810E1F" w:rsidP="001A3DBA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6F5866" w:rsidRPr="001A3DBA" w:rsidRDefault="00BE31F6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S</w:t>
            </w:r>
            <w:r w:rsidR="006F5866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e incluye el proyecto de pre</w:t>
            </w:r>
            <w:r w:rsidR="00D87C1B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su</w:t>
            </w:r>
            <w:r w:rsidR="006F5866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puesto 20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21</w:t>
            </w:r>
            <w:r w:rsidR="00D87C1B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 </w:t>
            </w:r>
            <w:r w:rsidR="006F5866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y la Memoria </w:t>
            </w:r>
            <w:r w:rsidR="00D87C1B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justificativa.</w:t>
            </w:r>
          </w:p>
        </w:tc>
      </w:tr>
      <w:tr w:rsidR="00F47C3B" w:rsidRPr="00CB5511" w:rsidTr="00520631">
        <w:trPr>
          <w:trHeight w:val="940"/>
        </w:trPr>
        <w:tc>
          <w:tcPr>
            <w:tcW w:w="1024" w:type="dxa"/>
            <w:vMerge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F47C3B" w:rsidRDefault="00F47C3B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Default="00F47C3B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CC2049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Ejecución presupuestaria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Pr="001A3DBA" w:rsidRDefault="00F47C3B" w:rsidP="001A3DBA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Pr="001A3DBA" w:rsidRDefault="00C822F8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No se ha localizado la información.</w:t>
            </w:r>
          </w:p>
        </w:tc>
      </w:tr>
      <w:tr w:rsidR="00F47C3B" w:rsidRPr="00CB5511" w:rsidTr="00520631">
        <w:trPr>
          <w:trHeight w:val="1114"/>
        </w:trPr>
        <w:tc>
          <w:tcPr>
            <w:tcW w:w="1024" w:type="dxa"/>
            <w:vMerge w:val="restart"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F47C3B" w:rsidRDefault="00F47C3B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Cuentas</w:t>
            </w: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Default="00F47C3B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Cuentas anuales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Pr="00810E1F" w:rsidRDefault="00810E1F" w:rsidP="00810E1F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Pr="001A3DBA" w:rsidRDefault="00F47C3B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</w:p>
        </w:tc>
      </w:tr>
      <w:tr w:rsidR="00F47C3B" w:rsidRPr="00CB5511" w:rsidTr="00520631">
        <w:trPr>
          <w:trHeight w:val="940"/>
        </w:trPr>
        <w:tc>
          <w:tcPr>
            <w:tcW w:w="1024" w:type="dxa"/>
            <w:vMerge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F47C3B" w:rsidRDefault="00F47C3B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Default="00F47C3B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Informes de auditoría de cuentas y de fiscalización por 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lastRenderedPageBreak/>
              <w:t>órganos de control externo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Pr="00810E1F" w:rsidRDefault="00810E1F" w:rsidP="00810E1F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lastRenderedPageBreak/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F47C3B" w:rsidRPr="001A3DBA" w:rsidRDefault="00C822F8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Las cuentas anuales incluyen un informe de auditoría elaborado por un auditor externo. En la web del TCU se han </w:t>
            </w:r>
            <w:r w:rsidR="006F5866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localizado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 xml:space="preserve"> varios informes de </w:t>
            </w: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lastRenderedPageBreak/>
              <w:t>fiscalización, el más reciente publicado por el TCU en 2017</w:t>
            </w:r>
          </w:p>
        </w:tc>
      </w:tr>
      <w:tr w:rsidR="00BD4582" w:rsidRPr="00CB5511" w:rsidTr="00520631">
        <w:trPr>
          <w:trHeight w:val="940"/>
        </w:trPr>
        <w:tc>
          <w:tcPr>
            <w:tcW w:w="1024" w:type="dxa"/>
            <w:vMerge w:val="restart"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BD4582" w:rsidRDefault="00BD4582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lastRenderedPageBreak/>
              <w:t>Retribuciones</w:t>
            </w: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Default="00BD4582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Retribuciones anuales Altos Cargos y máximos responsables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Pr="00810E1F" w:rsidRDefault="00810E1F" w:rsidP="00810E1F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Pr="001A3DBA" w:rsidRDefault="00B25475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La última información publicada corresponde a 2019</w:t>
            </w:r>
          </w:p>
        </w:tc>
      </w:tr>
      <w:tr w:rsidR="00BD4582" w:rsidRPr="00CB5511" w:rsidTr="00520631">
        <w:trPr>
          <w:trHeight w:val="940"/>
        </w:trPr>
        <w:tc>
          <w:tcPr>
            <w:tcW w:w="1024" w:type="dxa"/>
            <w:vMerge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BD4582" w:rsidRDefault="00BD4582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Default="00BD4582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Indemnizaciones percibidas por Altos Cargos con ocasión del abandono del cargo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Pr="00810E1F" w:rsidRDefault="00300075" w:rsidP="00810E1F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Pr="001A3DBA" w:rsidRDefault="003757E3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3757E3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La última información publicada corresponde a 2019</w:t>
            </w:r>
          </w:p>
        </w:tc>
      </w:tr>
      <w:tr w:rsidR="00BD4582" w:rsidRPr="00CB5511" w:rsidTr="00520631">
        <w:trPr>
          <w:trHeight w:val="940"/>
        </w:trPr>
        <w:tc>
          <w:tcPr>
            <w:tcW w:w="1024" w:type="dxa"/>
            <w:vMerge w:val="restart"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BD4582" w:rsidRDefault="00BD4582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  <w:r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  <w:t>Gobernanza económica</w:t>
            </w: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Default="00BD4582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BD4582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Resoluciones de autorización o reconocimiento de compatibilidad que afecten a los empleados.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Pr="00810E1F" w:rsidRDefault="00300075" w:rsidP="00810E1F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Pr="001A3DBA" w:rsidRDefault="003757E3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3757E3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La última información publicada corresponde a 2019</w:t>
            </w:r>
          </w:p>
        </w:tc>
      </w:tr>
      <w:tr w:rsidR="00BD4582" w:rsidRPr="00CB5511" w:rsidTr="00520631">
        <w:trPr>
          <w:trHeight w:val="940"/>
        </w:trPr>
        <w:tc>
          <w:tcPr>
            <w:tcW w:w="1024" w:type="dxa"/>
            <w:vMerge/>
            <w:tcBorders>
              <w:right w:val="single" w:sz="4" w:space="0" w:color="00642D"/>
            </w:tcBorders>
            <w:shd w:val="clear" w:color="auto" w:fill="00642D"/>
            <w:textDirection w:val="btLr"/>
            <w:vAlign w:val="center"/>
          </w:tcPr>
          <w:p w:rsidR="00BD4582" w:rsidRDefault="00BD4582" w:rsidP="00520631">
            <w:pPr>
              <w:pStyle w:val="Cuerpodelboletn"/>
              <w:spacing w:before="120" w:after="120" w:line="312" w:lineRule="auto"/>
              <w:ind w:left="113" w:right="113"/>
              <w:jc w:val="center"/>
              <w:rPr>
                <w:rStyle w:val="Ttulo2Car"/>
                <w:color w:val="FFFFFF" w:themeColor="background1"/>
                <w:sz w:val="20"/>
                <w:szCs w:val="20"/>
                <w:lang w:bidi="es-ES"/>
              </w:rPr>
            </w:pPr>
          </w:p>
        </w:tc>
        <w:tc>
          <w:tcPr>
            <w:tcW w:w="3402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Default="00BD4582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BD4582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Autorización para actividad privada al cese de altos cargos en la AGE o asimilados en CCAA o EELL</w:t>
            </w:r>
          </w:p>
        </w:tc>
        <w:tc>
          <w:tcPr>
            <w:tcW w:w="56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Pr="00810E1F" w:rsidRDefault="00B579C7" w:rsidP="00810E1F">
            <w:pPr>
              <w:pStyle w:val="Cuerpodelboletn"/>
              <w:spacing w:before="120" w:after="120" w:line="312" w:lineRule="auto"/>
              <w:jc w:val="center"/>
              <w:rPr>
                <w:rStyle w:val="Ttulo2Car"/>
                <w:color w:val="auto"/>
                <w:sz w:val="20"/>
                <w:szCs w:val="20"/>
                <w:lang w:bidi="es-ES"/>
              </w:rPr>
            </w:pPr>
            <w:r>
              <w:rPr>
                <w:rStyle w:val="Ttulo2Car"/>
                <w:color w:val="auto"/>
                <w:sz w:val="20"/>
                <w:szCs w:val="20"/>
                <w:lang w:bidi="es-ES"/>
              </w:rPr>
              <w:t>X</w:t>
            </w:r>
          </w:p>
        </w:tc>
        <w:tc>
          <w:tcPr>
            <w:tcW w:w="532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BD4582" w:rsidRPr="001A3DBA" w:rsidRDefault="001A682A" w:rsidP="00520631">
            <w:pPr>
              <w:pStyle w:val="Cuerpodelboletn"/>
              <w:spacing w:before="120" w:after="120" w:line="312" w:lineRule="auto"/>
              <w:jc w:val="left"/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</w:pPr>
            <w:r w:rsidRPr="001A682A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No aplicable, en e</w:t>
            </w:r>
            <w:r w:rsidR="003757E3">
              <w:rPr>
                <w:rStyle w:val="Ttulo2Car"/>
                <w:b w:val="0"/>
                <w:color w:val="auto"/>
                <w:sz w:val="20"/>
                <w:szCs w:val="20"/>
                <w:lang w:bidi="es-ES"/>
              </w:rPr>
              <w:t>l Portal se indica que tanto el Gobernador como la Subgobernadora y los Consejeros no pueden desarrollar actividades profesionales en entidades de crédito, mercados de valores o entidades financieras privadas durante los dos años posteriores al cese</w:t>
            </w:r>
          </w:p>
        </w:tc>
      </w:tr>
    </w:tbl>
    <w:p w:rsidR="00520631" w:rsidRDefault="00520631" w:rsidP="00C33A23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</w:p>
    <w:p w:rsidR="00520631" w:rsidRDefault="00520631">
      <w:pPr>
        <w:rPr>
          <w:rStyle w:val="Ttulo2Car"/>
          <w:color w:val="00642D"/>
          <w:lang w:bidi="es-ES"/>
        </w:rPr>
      </w:pPr>
      <w:r>
        <w:rPr>
          <w:rStyle w:val="Ttulo2Car"/>
          <w:color w:val="00642D"/>
          <w:lang w:bidi="es-ES"/>
        </w:rPr>
        <w:br w:type="page"/>
      </w:r>
    </w:p>
    <w:p w:rsidR="00C33A23" w:rsidRPr="00C33A23" w:rsidRDefault="00C33A23" w:rsidP="00C33A23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C33A23">
        <w:rPr>
          <w:rStyle w:val="Ttulo2Car"/>
          <w:color w:val="00642D"/>
          <w:lang w:bidi="es-ES"/>
        </w:rPr>
        <w:lastRenderedPageBreak/>
        <w:t xml:space="preserve">Análisis de la </w:t>
      </w:r>
      <w:r w:rsidR="002A154B">
        <w:rPr>
          <w:rStyle w:val="Ttulo2Car"/>
          <w:color w:val="00642D"/>
          <w:lang w:bidi="es-ES"/>
        </w:rPr>
        <w:t>I</w:t>
      </w:r>
      <w:r w:rsidRPr="00C33A23">
        <w:rPr>
          <w:rStyle w:val="Ttulo2Car"/>
          <w:color w:val="00642D"/>
          <w:lang w:bidi="es-ES"/>
        </w:rPr>
        <w:t xml:space="preserve">nformación de </w:t>
      </w:r>
      <w:r w:rsidR="00BD4582">
        <w:rPr>
          <w:rStyle w:val="Ttulo2Car"/>
          <w:color w:val="00642D"/>
          <w:lang w:bidi="es-ES"/>
        </w:rPr>
        <w:t>Económica, Presupuestaria y Estadística</w:t>
      </w:r>
    </w:p>
    <w:p w:rsidR="00C33A23" w:rsidRDefault="00C33A23" w:rsidP="00C33A23">
      <w:pPr>
        <w:pStyle w:val="Cuerpodelboletn"/>
        <w:spacing w:before="120" w:after="120" w:line="312" w:lineRule="auto"/>
        <w:ind w:left="360"/>
        <w:rPr>
          <w:rStyle w:val="Ttulo2Car"/>
          <w:lang w:bidi="es-ES"/>
        </w:rPr>
      </w:pPr>
      <w:r w:rsidRPr="006A2766">
        <w:rPr>
          <w:rStyle w:val="Ttulo2Ca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2DB2B" wp14:editId="45DED956">
                <wp:simplePos x="0" y="0"/>
                <wp:positionH relativeFrom="column">
                  <wp:posOffset>246380</wp:posOffset>
                </wp:positionH>
                <wp:positionV relativeFrom="paragraph">
                  <wp:posOffset>66675</wp:posOffset>
                </wp:positionV>
                <wp:extent cx="5509523" cy="1403985"/>
                <wp:effectExtent l="0" t="0" r="15240" b="1016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5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DB" w:rsidRPr="00B233C4" w:rsidRDefault="009771DB" w:rsidP="00B233C4">
                            <w:pPr>
                              <w:rPr>
                                <w:b/>
                                <w:color w:val="00642D"/>
                              </w:rPr>
                            </w:pPr>
                            <w:r w:rsidRPr="00B233C4">
                              <w:rPr>
                                <w:b/>
                                <w:color w:val="00642D"/>
                              </w:rPr>
                              <w:t>Contenidos</w:t>
                            </w:r>
                          </w:p>
                          <w:p w:rsidR="009771DB" w:rsidRPr="00FA3DC3" w:rsidRDefault="009771DB" w:rsidP="00B579C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3DC3">
                              <w:rPr>
                                <w:sz w:val="20"/>
                                <w:szCs w:val="20"/>
                              </w:rPr>
                              <w:t>La información publicada no contempla la totalidad de los contenidos obligatorios establecidos en el artículo 8 de la LTAIBG.</w:t>
                            </w:r>
                          </w:p>
                          <w:p w:rsidR="009771DB" w:rsidRPr="00FA3DC3" w:rsidRDefault="009771DB" w:rsidP="008F0C4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3DC3">
                              <w:rPr>
                                <w:sz w:val="20"/>
                                <w:szCs w:val="20"/>
                              </w:rPr>
                              <w:t>No se ha localizado información sobre ejecución presupuestaria.</w:t>
                            </w:r>
                          </w:p>
                          <w:p w:rsidR="009771DB" w:rsidRPr="00FA3DC3" w:rsidRDefault="008772BD" w:rsidP="008F0C4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se enlaza</w:t>
                            </w:r>
                            <w:r w:rsidR="009771DB" w:rsidRPr="00FA3DC3">
                              <w:rPr>
                                <w:sz w:val="20"/>
                                <w:szCs w:val="20"/>
                              </w:rPr>
                              <w:t xml:space="preserve"> a los informes de fiscalización realizados por el TCU.</w:t>
                            </w:r>
                          </w:p>
                          <w:p w:rsidR="009771DB" w:rsidRPr="00FA3DC3" w:rsidRDefault="009771DB" w:rsidP="008F0C4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3DC3">
                              <w:rPr>
                                <w:sz w:val="20"/>
                                <w:szCs w:val="20"/>
                              </w:rPr>
                              <w:t xml:space="preserve">La información sobre datos estadísticos de contratos, retribuciones de altos cargos, indemnizaciones y resoluciones de autorización de compatibilidad a empleados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corresponde al año 2019</w:t>
                            </w:r>
                            <w:r w:rsidRPr="00FA3D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771DB" w:rsidRPr="00FA3DC3" w:rsidRDefault="009771DB" w:rsidP="008F0C4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3DC3">
                              <w:rPr>
                                <w:sz w:val="20"/>
                                <w:szCs w:val="20"/>
                              </w:rPr>
                              <w:t xml:space="preserve">En el bloque de información Económica, Presupuestaria y Estadística, debería incluirse un enlace o apartado “Datos estadísticos relativos al cumplimiento y calidad de los servicios” que redirigiese a las Memorias que actualmente se publican a través del enlace “Planes y programas” así como otra información que elabore el </w:t>
                            </w:r>
                            <w:proofErr w:type="spellStart"/>
                            <w:r w:rsidRPr="00FA3DC3">
                              <w:rPr>
                                <w:sz w:val="20"/>
                                <w:szCs w:val="20"/>
                              </w:rPr>
                              <w:t>BdE</w:t>
                            </w:r>
                            <w:proofErr w:type="spellEnd"/>
                            <w:r w:rsidRPr="00FA3DC3">
                              <w:rPr>
                                <w:sz w:val="20"/>
                                <w:szCs w:val="20"/>
                              </w:rPr>
                              <w:t xml:space="preserve"> vinculada a esta materia.</w:t>
                            </w:r>
                          </w:p>
                          <w:p w:rsidR="009771DB" w:rsidRPr="006773E3" w:rsidRDefault="009771DB" w:rsidP="00B233C4">
                            <w:pPr>
                              <w:rPr>
                                <w:b/>
                                <w:color w:val="00642D"/>
                              </w:rPr>
                            </w:pPr>
                            <w:r w:rsidRPr="006773E3">
                              <w:rPr>
                                <w:b/>
                                <w:color w:val="00642D"/>
                              </w:rPr>
                              <w:t>Calidad de la Información</w:t>
                            </w:r>
                          </w:p>
                          <w:p w:rsidR="009771DB" w:rsidRPr="00FA3DC3" w:rsidRDefault="009771DB" w:rsidP="00B233C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3DC3">
                              <w:rPr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FA3DC3">
                              <w:rPr>
                                <w:sz w:val="20"/>
                                <w:szCs w:val="20"/>
                              </w:rPr>
                              <w:t>BdE</w:t>
                            </w:r>
                            <w:proofErr w:type="spellEnd"/>
                            <w:r w:rsidRPr="00FA3DC3">
                              <w:rPr>
                                <w:sz w:val="20"/>
                                <w:szCs w:val="20"/>
                              </w:rPr>
                              <w:t xml:space="preserve"> mantiene el criterio de publicar determinadas informaciones (por ejemplo, cuadros-resumen de contratos, modificaciones de los mismos) a ejercicio vencido. Esto implica que la información esté desactualizada por lo que debería revisarse este criterio.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9.4pt;margin-top:5.25pt;width:433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">
                <v:textbox style="mso-fit-shape-to-text:t">
                  <w:txbxContent>
                    <w:p w:rsidR="009771DB" w:rsidRPr="00B233C4" w:rsidRDefault="009771DB" w:rsidP="00B233C4">
                      <w:pPr>
                        <w:rPr>
                          <w:b/>
                          <w:color w:val="00642D"/>
                        </w:rPr>
                      </w:pPr>
                      <w:r w:rsidRPr="00B233C4">
                        <w:rPr>
                          <w:b/>
                          <w:color w:val="00642D"/>
                        </w:rPr>
                        <w:t>Contenidos</w:t>
                      </w:r>
                    </w:p>
                    <w:p w:rsidR="009771DB" w:rsidRPr="00FA3DC3" w:rsidRDefault="009771DB" w:rsidP="00B579C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A3DC3">
                        <w:rPr>
                          <w:sz w:val="20"/>
                          <w:szCs w:val="20"/>
                        </w:rPr>
                        <w:t>La información publicada no contempla la totalidad de los contenidos obligatorios establecidos en el artículo 8 de la LTAIBG.</w:t>
                      </w:r>
                    </w:p>
                    <w:p w:rsidR="009771DB" w:rsidRPr="00FA3DC3" w:rsidRDefault="009771DB" w:rsidP="008F0C4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FA3DC3">
                        <w:rPr>
                          <w:sz w:val="20"/>
                          <w:szCs w:val="20"/>
                        </w:rPr>
                        <w:t>No se ha localizado información sobre ejecución presupuestaria.</w:t>
                      </w:r>
                    </w:p>
                    <w:p w:rsidR="009771DB" w:rsidRPr="00FA3DC3" w:rsidRDefault="008772BD" w:rsidP="008F0C4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se enlaza</w:t>
                      </w:r>
                      <w:r w:rsidR="009771DB" w:rsidRPr="00FA3DC3">
                        <w:rPr>
                          <w:sz w:val="20"/>
                          <w:szCs w:val="20"/>
                        </w:rPr>
                        <w:t xml:space="preserve"> a los informes de fiscalización realizados por el TCU.</w:t>
                      </w:r>
                    </w:p>
                    <w:p w:rsidR="009771DB" w:rsidRPr="00FA3DC3" w:rsidRDefault="009771DB" w:rsidP="008F0C4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FA3DC3">
                        <w:rPr>
                          <w:sz w:val="20"/>
                          <w:szCs w:val="20"/>
                        </w:rPr>
                        <w:t xml:space="preserve">La información sobre datos estadísticos de contratos, retribuciones de altos cargos, indemnizaciones y resoluciones de autorización de compatibilidad a empleados </w:t>
                      </w:r>
                      <w:r>
                        <w:rPr>
                          <w:sz w:val="20"/>
                          <w:szCs w:val="20"/>
                        </w:rPr>
                        <w:t>corresponde al año 2019</w:t>
                      </w:r>
                      <w:r w:rsidRPr="00FA3DC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771DB" w:rsidRPr="00FA3DC3" w:rsidRDefault="009771DB" w:rsidP="008F0C4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FA3DC3">
                        <w:rPr>
                          <w:sz w:val="20"/>
                          <w:szCs w:val="20"/>
                        </w:rPr>
                        <w:t xml:space="preserve">En el bloque de información Económica, Presupuestaria y Estadística, debería incluirse un enlace o apartado “Datos estadísticos relativos al cumplimiento y calidad de los servicios” que redirigiese a las Memorias que actualmente se publican a través del enlace “Planes y programas” así como otra información que elabore el </w:t>
                      </w:r>
                      <w:proofErr w:type="spellStart"/>
                      <w:r w:rsidRPr="00FA3DC3">
                        <w:rPr>
                          <w:sz w:val="20"/>
                          <w:szCs w:val="20"/>
                        </w:rPr>
                        <w:t>BdE</w:t>
                      </w:r>
                      <w:proofErr w:type="spellEnd"/>
                      <w:r w:rsidRPr="00FA3DC3">
                        <w:rPr>
                          <w:sz w:val="20"/>
                          <w:szCs w:val="20"/>
                        </w:rPr>
                        <w:t xml:space="preserve"> vinculada a esta materia.</w:t>
                      </w:r>
                    </w:p>
                    <w:p w:rsidR="009771DB" w:rsidRPr="006773E3" w:rsidRDefault="009771DB" w:rsidP="00B233C4">
                      <w:pPr>
                        <w:rPr>
                          <w:b/>
                          <w:color w:val="00642D"/>
                        </w:rPr>
                      </w:pPr>
                      <w:r w:rsidRPr="006773E3">
                        <w:rPr>
                          <w:b/>
                          <w:color w:val="00642D"/>
                        </w:rPr>
                        <w:t>Calidad de la Información</w:t>
                      </w:r>
                    </w:p>
                    <w:p w:rsidR="009771DB" w:rsidRPr="00FA3DC3" w:rsidRDefault="009771DB" w:rsidP="00B233C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FA3DC3">
                        <w:rPr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FA3DC3">
                        <w:rPr>
                          <w:sz w:val="20"/>
                          <w:szCs w:val="20"/>
                        </w:rPr>
                        <w:t>BdE</w:t>
                      </w:r>
                      <w:proofErr w:type="spellEnd"/>
                      <w:r w:rsidRPr="00FA3DC3">
                        <w:rPr>
                          <w:sz w:val="20"/>
                          <w:szCs w:val="20"/>
                        </w:rPr>
                        <w:t xml:space="preserve"> mantiene el criterio de publicar determinadas informaciones (por ejemplo, cuadros-resumen de contratos, modificaciones de los mismos) a ejercicio vencido. Esto implica que la información esté desactualizada por lo que debería revisarse este criterio.</w:t>
                      </w:r>
                    </w:p>
                  </w:txbxContent>
                </v:textbox>
              </v:shape>
            </w:pict>
          </mc:Fallback>
        </mc:AlternateContent>
      </w:r>
    </w:p>
    <w:p w:rsidR="00C33A23" w:rsidRDefault="00C33A23" w:rsidP="00C33A23">
      <w:pPr>
        <w:pStyle w:val="Cuerpodelboletn"/>
        <w:spacing w:before="120" w:after="120" w:line="312" w:lineRule="auto"/>
        <w:ind w:left="360"/>
        <w:rPr>
          <w:rStyle w:val="Ttulo2Car"/>
          <w:lang w:bidi="es-ES"/>
        </w:rPr>
      </w:pPr>
    </w:p>
    <w:p w:rsidR="00C33A23" w:rsidRDefault="00C33A23" w:rsidP="00C33A23">
      <w:pPr>
        <w:pStyle w:val="Cuerpodelboletn"/>
        <w:spacing w:before="120" w:after="120" w:line="312" w:lineRule="auto"/>
        <w:ind w:left="360"/>
        <w:rPr>
          <w:rStyle w:val="Ttulo2Car"/>
          <w:lang w:bidi="es-ES"/>
        </w:rPr>
      </w:pPr>
    </w:p>
    <w:p w:rsidR="001561A4" w:rsidRDefault="001561A4" w:rsidP="001561A4">
      <w:pPr>
        <w:pStyle w:val="Cuerpodelboletn"/>
        <w:spacing w:before="120" w:after="120" w:line="312" w:lineRule="auto"/>
        <w:ind w:left="360"/>
        <w:rPr>
          <w:rStyle w:val="Ttulo2Car"/>
          <w:lang w:bidi="es-ES"/>
        </w:rPr>
      </w:pPr>
    </w:p>
    <w:p w:rsidR="001561A4" w:rsidRDefault="001561A4" w:rsidP="001561A4">
      <w:pPr>
        <w:pStyle w:val="Cuerpodelboletn"/>
        <w:spacing w:before="120" w:after="120" w:line="312" w:lineRule="auto"/>
        <w:ind w:left="360"/>
        <w:rPr>
          <w:rStyle w:val="Ttulo2Car"/>
          <w:lang w:bidi="es-ES"/>
        </w:rPr>
      </w:pPr>
    </w:p>
    <w:p w:rsidR="001561A4" w:rsidRDefault="001561A4" w:rsidP="001561A4">
      <w:pPr>
        <w:pStyle w:val="Cuerpodelboletn"/>
        <w:spacing w:before="120" w:after="120" w:line="312" w:lineRule="auto"/>
        <w:ind w:left="360"/>
        <w:rPr>
          <w:rStyle w:val="Ttulo2Car"/>
          <w:lang w:bidi="es-ES"/>
        </w:rPr>
      </w:pPr>
    </w:p>
    <w:p w:rsidR="00E3088D" w:rsidRDefault="00E3088D" w:rsidP="00E3088D">
      <w:pPr>
        <w:pStyle w:val="Cuerpodelboletn"/>
        <w:spacing w:before="120" w:after="120" w:line="312" w:lineRule="auto"/>
        <w:ind w:left="360"/>
        <w:rPr>
          <w:rStyle w:val="Ttulo2Car"/>
          <w:lang w:bidi="es-ES"/>
        </w:rPr>
      </w:pPr>
    </w:p>
    <w:p w:rsidR="00E3088D" w:rsidRDefault="00E3088D" w:rsidP="00E3088D">
      <w:pPr>
        <w:pStyle w:val="Cuerpodelboletn"/>
        <w:spacing w:before="120" w:after="120" w:line="312" w:lineRule="auto"/>
        <w:ind w:left="360"/>
        <w:rPr>
          <w:b/>
          <w:color w:val="50866C"/>
          <w:sz w:val="32"/>
        </w:rPr>
      </w:pPr>
    </w:p>
    <w:p w:rsidR="00BD4582" w:rsidRDefault="00BD4582">
      <w:pPr>
        <w:rPr>
          <w:b/>
          <w:color w:val="50866C"/>
          <w:sz w:val="32"/>
          <w:szCs w:val="24"/>
        </w:rPr>
      </w:pPr>
      <w:r>
        <w:rPr>
          <w:b/>
          <w:color w:val="50866C"/>
          <w:sz w:val="32"/>
        </w:rPr>
        <w:br w:type="page"/>
      </w:r>
    </w:p>
    <w:p w:rsidR="00BD4582" w:rsidRPr="00BD4582" w:rsidRDefault="00B10A12" w:rsidP="00932008">
      <w:pPr>
        <w:pStyle w:val="Cuerpodelboletn"/>
        <w:numPr>
          <w:ilvl w:val="0"/>
          <w:numId w:val="1"/>
        </w:numPr>
        <w:spacing w:before="120" w:after="120" w:line="312" w:lineRule="auto"/>
        <w:rPr>
          <w:b/>
          <w:color w:val="00642D"/>
          <w:sz w:val="32"/>
        </w:rPr>
      </w:pPr>
      <w:r>
        <w:rPr>
          <w:b/>
          <w:color w:val="00642D"/>
          <w:sz w:val="32"/>
        </w:rPr>
        <w:lastRenderedPageBreak/>
        <w:t>Í</w:t>
      </w:r>
      <w:r w:rsidR="00BD4582" w:rsidRPr="00BD4582">
        <w:rPr>
          <w:b/>
          <w:color w:val="00642D"/>
          <w:sz w:val="32"/>
        </w:rPr>
        <w:t>ndice de Cumplimiento de la Información Obligatoria</w:t>
      </w:r>
      <w:r w:rsidR="00B70D6A">
        <w:rPr>
          <w:b/>
          <w:color w:val="00642D"/>
          <w:sz w:val="32"/>
        </w:rPr>
        <w:t xml:space="preserve"> </w:t>
      </w:r>
    </w:p>
    <w:tbl>
      <w:tblPr>
        <w:tblStyle w:val="Sombreadomedio2-nfasis3"/>
        <w:tblW w:w="5000" w:type="pct"/>
        <w:tblLook w:val="04A0" w:firstRow="1" w:lastRow="0" w:firstColumn="1" w:lastColumn="0" w:noHBand="0" w:noVBand="1"/>
      </w:tblPr>
      <w:tblGrid>
        <w:gridCol w:w="4774"/>
        <w:gridCol w:w="739"/>
        <w:gridCol w:w="739"/>
        <w:gridCol w:w="739"/>
        <w:gridCol w:w="739"/>
        <w:gridCol w:w="739"/>
        <w:gridCol w:w="739"/>
        <w:gridCol w:w="739"/>
        <w:gridCol w:w="735"/>
      </w:tblGrid>
      <w:tr w:rsidR="002A154B" w:rsidRPr="00500633" w:rsidTr="00974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642D"/>
            <w:noWrap/>
            <w:textDirection w:val="btLr"/>
            <w:vAlign w:val="center"/>
            <w:hideMark/>
          </w:tcPr>
          <w:p w:rsidR="002A154B" w:rsidRPr="00500633" w:rsidRDefault="002A154B" w:rsidP="00500633">
            <w:pPr>
              <w:spacing w:before="120" w:after="120" w:line="312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18" w:space="0" w:color="FFFFFF" w:themeColor="background1"/>
            </w:tcBorders>
            <w:shd w:val="clear" w:color="auto" w:fill="00642D"/>
            <w:noWrap/>
            <w:textDirection w:val="btLr"/>
            <w:vAlign w:val="center"/>
            <w:hideMark/>
          </w:tcPr>
          <w:p w:rsidR="002A154B" w:rsidRPr="00500633" w:rsidRDefault="002A154B" w:rsidP="00500633">
            <w:pPr>
              <w:spacing w:before="120" w:after="120" w:line="312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Contenido</w:t>
            </w:r>
          </w:p>
        </w:tc>
        <w:tc>
          <w:tcPr>
            <w:tcW w:w="346" w:type="pct"/>
            <w:tcBorders>
              <w:top w:val="single" w:sz="18" w:space="0" w:color="FFFFFF" w:themeColor="background1"/>
            </w:tcBorders>
            <w:shd w:val="clear" w:color="auto" w:fill="00642D"/>
            <w:noWrap/>
            <w:textDirection w:val="btLr"/>
            <w:vAlign w:val="center"/>
            <w:hideMark/>
          </w:tcPr>
          <w:p w:rsidR="002A154B" w:rsidRPr="00500633" w:rsidRDefault="002A154B" w:rsidP="00500633">
            <w:pPr>
              <w:spacing w:before="120" w:after="120" w:line="312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Forma</w:t>
            </w:r>
          </w:p>
        </w:tc>
        <w:tc>
          <w:tcPr>
            <w:tcW w:w="346" w:type="pct"/>
            <w:tcBorders>
              <w:top w:val="single" w:sz="18" w:space="0" w:color="FFFFFF" w:themeColor="background1"/>
            </w:tcBorders>
            <w:shd w:val="clear" w:color="auto" w:fill="00642D"/>
            <w:noWrap/>
            <w:textDirection w:val="btLr"/>
            <w:vAlign w:val="center"/>
            <w:hideMark/>
          </w:tcPr>
          <w:p w:rsidR="002A154B" w:rsidRPr="00500633" w:rsidRDefault="002A154B" w:rsidP="00500633">
            <w:pPr>
              <w:spacing w:before="120" w:after="120" w:line="312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Estructuración</w:t>
            </w:r>
          </w:p>
        </w:tc>
        <w:tc>
          <w:tcPr>
            <w:tcW w:w="346" w:type="pct"/>
            <w:tcBorders>
              <w:top w:val="single" w:sz="18" w:space="0" w:color="FFFFFF" w:themeColor="background1"/>
            </w:tcBorders>
            <w:shd w:val="clear" w:color="auto" w:fill="00642D"/>
            <w:noWrap/>
            <w:textDirection w:val="btLr"/>
            <w:vAlign w:val="center"/>
            <w:hideMark/>
          </w:tcPr>
          <w:p w:rsidR="002A154B" w:rsidRPr="00500633" w:rsidRDefault="002A154B" w:rsidP="00500633">
            <w:pPr>
              <w:spacing w:before="120" w:after="120" w:line="312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Accesibilidad</w:t>
            </w:r>
          </w:p>
        </w:tc>
        <w:tc>
          <w:tcPr>
            <w:tcW w:w="346" w:type="pct"/>
            <w:tcBorders>
              <w:top w:val="single" w:sz="18" w:space="0" w:color="FFFFFF" w:themeColor="background1"/>
            </w:tcBorders>
            <w:shd w:val="clear" w:color="auto" w:fill="00642D"/>
            <w:noWrap/>
            <w:textDirection w:val="btLr"/>
            <w:vAlign w:val="center"/>
            <w:hideMark/>
          </w:tcPr>
          <w:p w:rsidR="002A154B" w:rsidRPr="00500633" w:rsidRDefault="002A154B" w:rsidP="00500633">
            <w:pPr>
              <w:spacing w:before="120" w:after="120" w:line="312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Claridad</w:t>
            </w:r>
          </w:p>
        </w:tc>
        <w:tc>
          <w:tcPr>
            <w:tcW w:w="346" w:type="pct"/>
            <w:tcBorders>
              <w:top w:val="single" w:sz="18" w:space="0" w:color="FFFFFF" w:themeColor="background1"/>
            </w:tcBorders>
            <w:shd w:val="clear" w:color="auto" w:fill="00642D"/>
            <w:noWrap/>
            <w:textDirection w:val="btLr"/>
            <w:vAlign w:val="center"/>
            <w:hideMark/>
          </w:tcPr>
          <w:p w:rsidR="002A154B" w:rsidRPr="00500633" w:rsidRDefault="002A154B" w:rsidP="00500633">
            <w:pPr>
              <w:spacing w:before="120" w:after="120" w:line="312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Reutilización</w:t>
            </w:r>
          </w:p>
        </w:tc>
        <w:tc>
          <w:tcPr>
            <w:tcW w:w="346" w:type="pct"/>
            <w:tcBorders>
              <w:top w:val="single" w:sz="18" w:space="0" w:color="FFFFFF" w:themeColor="background1"/>
            </w:tcBorders>
            <w:shd w:val="clear" w:color="auto" w:fill="00642D"/>
            <w:noWrap/>
            <w:textDirection w:val="btLr"/>
            <w:vAlign w:val="center"/>
            <w:hideMark/>
          </w:tcPr>
          <w:p w:rsidR="002A154B" w:rsidRPr="00500633" w:rsidRDefault="002A154B" w:rsidP="00500633">
            <w:pPr>
              <w:spacing w:before="120" w:after="120" w:line="312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Actualización</w:t>
            </w:r>
          </w:p>
        </w:tc>
        <w:tc>
          <w:tcPr>
            <w:tcW w:w="345" w:type="pct"/>
            <w:tcBorders>
              <w:top w:val="single" w:sz="18" w:space="0" w:color="FFFFFF" w:themeColor="background1"/>
            </w:tcBorders>
            <w:shd w:val="clear" w:color="auto" w:fill="00642D"/>
            <w:noWrap/>
            <w:textDirection w:val="btLr"/>
            <w:vAlign w:val="center"/>
            <w:hideMark/>
          </w:tcPr>
          <w:p w:rsidR="002A154B" w:rsidRPr="00500633" w:rsidRDefault="002A154B" w:rsidP="00500633">
            <w:pPr>
              <w:spacing w:before="120" w:after="120" w:line="312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Total</w:t>
            </w:r>
          </w:p>
        </w:tc>
      </w:tr>
      <w:tr w:rsidR="0097408D" w:rsidRPr="00500633" w:rsidTr="0097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642D"/>
            <w:noWrap/>
            <w:vAlign w:val="center"/>
            <w:hideMark/>
          </w:tcPr>
          <w:p w:rsidR="0097408D" w:rsidRPr="00500633" w:rsidRDefault="0097408D" w:rsidP="00500633">
            <w:pPr>
              <w:spacing w:before="120" w:after="120"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Institucional, Organizativa y de Planificación</w:t>
            </w:r>
          </w:p>
        </w:tc>
        <w:tc>
          <w:tcPr>
            <w:tcW w:w="346" w:type="pct"/>
            <w:tcBorders>
              <w:left w:val="single" w:sz="18" w:space="0" w:color="FFFFFF" w:themeColor="background1"/>
            </w:tcBorders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100,0%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100,0%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100,0%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100,0%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100,0%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42,9%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100,0%</w:t>
            </w:r>
          </w:p>
        </w:tc>
        <w:tc>
          <w:tcPr>
            <w:tcW w:w="345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91,8%</w:t>
            </w:r>
          </w:p>
        </w:tc>
      </w:tr>
      <w:tr w:rsidR="0097408D" w:rsidRPr="00500633" w:rsidTr="0097408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642D"/>
            <w:noWrap/>
            <w:vAlign w:val="center"/>
            <w:hideMark/>
          </w:tcPr>
          <w:p w:rsidR="0097408D" w:rsidRPr="00500633" w:rsidRDefault="0097408D" w:rsidP="00500633">
            <w:pPr>
              <w:spacing w:before="120" w:after="120"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500633">
              <w:rPr>
                <w:rFonts w:cs="Calibri"/>
                <w:sz w:val="16"/>
                <w:szCs w:val="16"/>
              </w:rPr>
              <w:t>Económica , Presupuestaria y Estadística</w:t>
            </w:r>
          </w:p>
        </w:tc>
        <w:tc>
          <w:tcPr>
            <w:tcW w:w="346" w:type="pct"/>
            <w:tcBorders>
              <w:left w:val="single" w:sz="18" w:space="0" w:color="FFFFFF" w:themeColor="background1"/>
            </w:tcBorders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91,2%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84,6%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92,3%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84,6%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92,3%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84,6%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76,9%</w:t>
            </w:r>
          </w:p>
        </w:tc>
        <w:tc>
          <w:tcPr>
            <w:tcW w:w="345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8D">
              <w:rPr>
                <w:sz w:val="16"/>
                <w:szCs w:val="16"/>
              </w:rPr>
              <w:t>86,7%</w:t>
            </w:r>
          </w:p>
        </w:tc>
      </w:tr>
      <w:tr w:rsidR="0097408D" w:rsidRPr="00500633" w:rsidTr="0097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642D"/>
            <w:noWrap/>
            <w:vAlign w:val="center"/>
            <w:hideMark/>
          </w:tcPr>
          <w:p w:rsidR="0097408D" w:rsidRPr="00500633" w:rsidRDefault="0097408D" w:rsidP="00500633">
            <w:pPr>
              <w:spacing w:before="120" w:after="120" w:line="312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500633">
              <w:rPr>
                <w:rFonts w:cs="Calibri"/>
                <w:i/>
                <w:sz w:val="16"/>
                <w:szCs w:val="16"/>
              </w:rPr>
              <w:t>Índice de Cumplimiento de la Información Obligatoria</w:t>
            </w:r>
          </w:p>
        </w:tc>
        <w:tc>
          <w:tcPr>
            <w:tcW w:w="346" w:type="pct"/>
            <w:tcBorders>
              <w:left w:val="single" w:sz="18" w:space="0" w:color="FFFFFF" w:themeColor="background1"/>
            </w:tcBorders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7408D">
              <w:rPr>
                <w:b/>
                <w:i/>
                <w:sz w:val="16"/>
                <w:szCs w:val="16"/>
              </w:rPr>
              <w:t>94,3%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7408D">
              <w:rPr>
                <w:b/>
                <w:i/>
                <w:sz w:val="16"/>
                <w:szCs w:val="16"/>
              </w:rPr>
              <w:t>90,0%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7408D">
              <w:rPr>
                <w:b/>
                <w:i/>
                <w:sz w:val="16"/>
                <w:szCs w:val="16"/>
              </w:rPr>
              <w:t>95,0%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7408D">
              <w:rPr>
                <w:b/>
                <w:i/>
                <w:sz w:val="16"/>
                <w:szCs w:val="16"/>
              </w:rPr>
              <w:t>90,0%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7408D">
              <w:rPr>
                <w:b/>
                <w:i/>
                <w:sz w:val="16"/>
                <w:szCs w:val="16"/>
              </w:rPr>
              <w:t>95,0%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7408D">
              <w:rPr>
                <w:b/>
                <w:i/>
                <w:sz w:val="16"/>
                <w:szCs w:val="16"/>
              </w:rPr>
              <w:t>70,0%</w:t>
            </w:r>
          </w:p>
        </w:tc>
        <w:tc>
          <w:tcPr>
            <w:tcW w:w="346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7408D">
              <w:rPr>
                <w:b/>
                <w:i/>
                <w:sz w:val="16"/>
                <w:szCs w:val="16"/>
              </w:rPr>
              <w:t>85,0%</w:t>
            </w:r>
          </w:p>
        </w:tc>
        <w:tc>
          <w:tcPr>
            <w:tcW w:w="345" w:type="pct"/>
            <w:noWrap/>
            <w:vAlign w:val="center"/>
          </w:tcPr>
          <w:p w:rsidR="0097408D" w:rsidRPr="0097408D" w:rsidRDefault="0097408D" w:rsidP="0097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7408D">
              <w:rPr>
                <w:b/>
                <w:i/>
                <w:sz w:val="16"/>
                <w:szCs w:val="16"/>
              </w:rPr>
              <w:t>88,5%</w:t>
            </w:r>
          </w:p>
        </w:tc>
      </w:tr>
    </w:tbl>
    <w:p w:rsidR="00BD4582" w:rsidRDefault="00BD4582" w:rsidP="00BD4582">
      <w:pPr>
        <w:pStyle w:val="Cuerpodelboletn"/>
        <w:spacing w:before="120" w:after="120" w:line="312" w:lineRule="auto"/>
        <w:ind w:left="720"/>
        <w:rPr>
          <w:b/>
          <w:color w:val="50866C"/>
          <w:sz w:val="32"/>
        </w:rPr>
      </w:pPr>
    </w:p>
    <w:p w:rsidR="002A154B" w:rsidRDefault="00B70D6A" w:rsidP="00B70D6A">
      <w:pPr>
        <w:jc w:val="both"/>
      </w:pPr>
      <w:r>
        <w:t xml:space="preserve">El Índice de Cumplimiento de la Información Obligatoria (ICIO) </w:t>
      </w:r>
      <w:r w:rsidR="004E14E7">
        <w:t>se sitúa en el</w:t>
      </w:r>
      <w:r>
        <w:t xml:space="preserve"> </w:t>
      </w:r>
      <w:r w:rsidR="0097408D">
        <w:t>88</w:t>
      </w:r>
      <w:r w:rsidR="00BE31F6">
        <w:t>,5</w:t>
      </w:r>
      <w:r>
        <w:t xml:space="preserve">%. La falta de publicación de contenidos obligatorios, </w:t>
      </w:r>
      <w:r w:rsidR="00500633">
        <w:t>la publicación de algunas de las informaciones en formatos no reutilizables</w:t>
      </w:r>
      <w:r>
        <w:t xml:space="preserve"> y la falta de datación y de referencias a la última revisión o actualización de la información publicada explican el nivel de cumplimiento alcanzado.</w:t>
      </w:r>
    </w:p>
    <w:p w:rsidR="00520631" w:rsidRDefault="00520631">
      <w:pPr>
        <w:rPr>
          <w:b/>
          <w:color w:val="00642D"/>
          <w:sz w:val="32"/>
          <w:szCs w:val="24"/>
        </w:rPr>
      </w:pPr>
      <w:r>
        <w:rPr>
          <w:b/>
          <w:color w:val="00642D"/>
          <w:sz w:val="32"/>
        </w:rPr>
        <w:br w:type="page"/>
      </w:r>
    </w:p>
    <w:p w:rsidR="00932008" w:rsidRPr="002A154B" w:rsidRDefault="002A154B" w:rsidP="00932008">
      <w:pPr>
        <w:pStyle w:val="Cuerpodelboletn"/>
        <w:numPr>
          <w:ilvl w:val="0"/>
          <w:numId w:val="1"/>
        </w:numPr>
        <w:spacing w:before="120" w:after="120" w:line="312" w:lineRule="auto"/>
        <w:rPr>
          <w:b/>
          <w:color w:val="00642D"/>
          <w:sz w:val="32"/>
        </w:rPr>
      </w:pPr>
      <w:r w:rsidRPr="002A154B">
        <w:rPr>
          <w:b/>
          <w:color w:val="00642D"/>
          <w:sz w:val="32"/>
        </w:rPr>
        <w:lastRenderedPageBreak/>
        <w:t xml:space="preserve">Transparencia </w:t>
      </w:r>
      <w:r w:rsidR="004E14E7">
        <w:rPr>
          <w:b/>
          <w:color w:val="00642D"/>
          <w:sz w:val="32"/>
        </w:rPr>
        <w:t>Voluntaria</w:t>
      </w:r>
      <w:r w:rsidRPr="002A154B">
        <w:rPr>
          <w:b/>
          <w:color w:val="00642D"/>
          <w:sz w:val="32"/>
        </w:rPr>
        <w:t xml:space="preserve"> y Buenas Prácticas</w:t>
      </w:r>
      <w:r w:rsidR="00BD4582" w:rsidRPr="002A154B">
        <w:rPr>
          <w:b/>
          <w:color w:val="00642D"/>
          <w:sz w:val="32"/>
        </w:rPr>
        <w:t xml:space="preserve"> </w:t>
      </w:r>
    </w:p>
    <w:p w:rsidR="002A154B" w:rsidRDefault="001C45F9">
      <w:pPr>
        <w:rPr>
          <w:b/>
          <w:color w:val="00642D"/>
        </w:rPr>
      </w:pPr>
      <w:r w:rsidRPr="002A154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CA1C2" wp14:editId="27364AF9">
                <wp:simplePos x="0" y="0"/>
                <wp:positionH relativeFrom="column">
                  <wp:posOffset>85725</wp:posOffset>
                </wp:positionH>
                <wp:positionV relativeFrom="paragraph">
                  <wp:posOffset>149225</wp:posOffset>
                </wp:positionV>
                <wp:extent cx="6512560" cy="1403985"/>
                <wp:effectExtent l="0" t="0" r="21590" b="2603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DB" w:rsidRDefault="009771DB" w:rsidP="001C45F9">
                            <w:pPr>
                              <w:rPr>
                                <w:b/>
                                <w:color w:val="00642D"/>
                              </w:rPr>
                            </w:pPr>
                            <w:r w:rsidRPr="002A154B">
                              <w:rPr>
                                <w:b/>
                                <w:color w:val="00642D"/>
                              </w:rPr>
                              <w:t xml:space="preserve">Transparencia </w:t>
                            </w:r>
                            <w:r>
                              <w:rPr>
                                <w:b/>
                                <w:color w:val="00642D"/>
                              </w:rPr>
                              <w:t>Voluntaria</w:t>
                            </w:r>
                          </w:p>
                          <w:p w:rsidR="009771DB" w:rsidRDefault="009771DB" w:rsidP="00B70D6A">
                            <w:pPr>
                              <w:jc w:val="both"/>
                            </w:pPr>
                            <w:r>
                              <w:t xml:space="preserve">Además de las informaciones sujetas a obligaciones de publicidad activa, el </w:t>
                            </w:r>
                            <w:proofErr w:type="spellStart"/>
                            <w:r>
                              <w:t>BdE</w:t>
                            </w:r>
                            <w:proofErr w:type="spellEnd"/>
                            <w:r>
                              <w:t xml:space="preserve"> publica otras informaciones que pueden considerarse relevantes desde el punto de vista de la Transparencia y  que ponen de manifiesto la voluntad del organismo por hacer más transparente su gestión:</w:t>
                            </w:r>
                          </w:p>
                          <w:p w:rsidR="009771DB" w:rsidRPr="00981D97" w:rsidRDefault="009771DB" w:rsidP="001A4A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color w:val="00642D"/>
                              </w:rPr>
                            </w:pPr>
                            <w:r w:rsidRPr="00E21BFC">
                              <w:t xml:space="preserve">La publicación de las </w:t>
                            </w:r>
                            <w:r>
                              <w:t>agendas del Gobernador y Subgobernadora</w:t>
                            </w:r>
                          </w:p>
                          <w:p w:rsidR="009771DB" w:rsidRPr="00E03165" w:rsidRDefault="009771DB" w:rsidP="001A4A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color w:val="00642D"/>
                              </w:rPr>
                            </w:pPr>
                            <w:r>
                              <w:t xml:space="preserve">La publicación de los códigos de conducta de los órganos rectores y del personal al servicio del </w:t>
                            </w:r>
                            <w:proofErr w:type="spellStart"/>
                            <w:r>
                              <w:t>BdE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771DB" w:rsidRPr="008D1590" w:rsidRDefault="009771DB" w:rsidP="001A4A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color w:val="00642D"/>
                              </w:rPr>
                            </w:pPr>
                            <w:r>
                              <w:t>La publicación del Plan anual normativo</w:t>
                            </w:r>
                          </w:p>
                          <w:p w:rsidR="009771DB" w:rsidRPr="00002AD9" w:rsidRDefault="009771DB" w:rsidP="001A4A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color w:val="00642D"/>
                              </w:rPr>
                            </w:pPr>
                            <w:r>
                              <w:t>La publicación de los proyectos normativos sujetos a consulta pública</w:t>
                            </w:r>
                          </w:p>
                          <w:p w:rsidR="009771DB" w:rsidRPr="00B10A12" w:rsidRDefault="009771DB" w:rsidP="001A4A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color w:val="00642D"/>
                              </w:rPr>
                            </w:pPr>
                            <w:r>
                              <w:t xml:space="preserve">La publicación de información sobre el patrimonio histórico-artístico del </w:t>
                            </w:r>
                            <w:proofErr w:type="spellStart"/>
                            <w:r>
                              <w:t>BdE</w:t>
                            </w:r>
                            <w:proofErr w:type="spellEnd"/>
                          </w:p>
                          <w:p w:rsidR="009771DB" w:rsidRPr="00A63ED9" w:rsidRDefault="009771DB" w:rsidP="001A4A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color w:val="00642D"/>
                              </w:rPr>
                            </w:pPr>
                            <w:r>
                              <w:t>La publicación de las Encomiendas de gestión efectuadas a la Imprenta de Billetes</w:t>
                            </w:r>
                          </w:p>
                          <w:p w:rsidR="009771DB" w:rsidRDefault="009771DB" w:rsidP="001A4A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 w:rsidRPr="00A63ED9">
                              <w:t xml:space="preserve">La publicación </w:t>
                            </w:r>
                            <w:r>
                              <w:t>de información estadística relativa al grado de cumplimiento de los servicios que presta.</w:t>
                            </w:r>
                          </w:p>
                          <w:p w:rsidR="009771DB" w:rsidRPr="00A63ED9" w:rsidRDefault="009771DB" w:rsidP="001A4A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La publicación de sus bienes patrimoniales.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.75pt;margin-top:11.75pt;width:512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">
                <v:textbox style="mso-fit-shape-to-text:t">
                  <w:txbxContent>
                    <w:p w:rsidR="009771DB" w:rsidRDefault="009771DB" w:rsidP="001C45F9">
                      <w:pPr>
                        <w:rPr>
                          <w:b/>
                          <w:color w:val="00642D"/>
                        </w:rPr>
                      </w:pPr>
                      <w:r w:rsidRPr="002A154B">
                        <w:rPr>
                          <w:b/>
                          <w:color w:val="00642D"/>
                        </w:rPr>
                        <w:t xml:space="preserve">Transparencia </w:t>
                      </w:r>
                      <w:r>
                        <w:rPr>
                          <w:b/>
                          <w:color w:val="00642D"/>
                        </w:rPr>
                        <w:t>Voluntaria</w:t>
                      </w:r>
                    </w:p>
                    <w:p w:rsidR="009771DB" w:rsidRDefault="009771DB" w:rsidP="00B70D6A">
                      <w:pPr>
                        <w:jc w:val="both"/>
                      </w:pPr>
                      <w:r>
                        <w:t xml:space="preserve">Además de las informaciones sujetas a obligaciones de publicidad activa, el </w:t>
                      </w:r>
                      <w:proofErr w:type="spellStart"/>
                      <w:r>
                        <w:t>BdE</w:t>
                      </w:r>
                      <w:proofErr w:type="spellEnd"/>
                      <w:r>
                        <w:t xml:space="preserve"> publica otras informaciones que pueden considerarse relevantes desde el punto de vista de la Transparencia y  que ponen de manifiesto la voluntad del organismo por hacer más transparente su gestión:</w:t>
                      </w:r>
                    </w:p>
                    <w:p w:rsidR="009771DB" w:rsidRPr="00981D97" w:rsidRDefault="009771DB" w:rsidP="001A4A7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color w:val="00642D"/>
                        </w:rPr>
                      </w:pPr>
                      <w:r w:rsidRPr="00E21BFC">
                        <w:t xml:space="preserve">La publicación de las </w:t>
                      </w:r>
                      <w:r>
                        <w:t>agendas del Gobernador y Subgobernadora</w:t>
                      </w:r>
                    </w:p>
                    <w:p w:rsidR="009771DB" w:rsidRPr="00E03165" w:rsidRDefault="009771DB" w:rsidP="001A4A7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color w:val="00642D"/>
                        </w:rPr>
                      </w:pPr>
                      <w:r>
                        <w:t xml:space="preserve">La publicación de los códigos de conducta de los órganos rectores y del personal al servicio del </w:t>
                      </w:r>
                      <w:proofErr w:type="spellStart"/>
                      <w:r>
                        <w:t>BdE</w:t>
                      </w:r>
                      <w:proofErr w:type="spellEnd"/>
                      <w:r>
                        <w:t xml:space="preserve"> </w:t>
                      </w:r>
                    </w:p>
                    <w:p w:rsidR="009771DB" w:rsidRPr="008D1590" w:rsidRDefault="009771DB" w:rsidP="001A4A7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color w:val="00642D"/>
                        </w:rPr>
                      </w:pPr>
                      <w:r>
                        <w:t>La publicación del Plan anual normativo</w:t>
                      </w:r>
                    </w:p>
                    <w:p w:rsidR="009771DB" w:rsidRPr="00002AD9" w:rsidRDefault="009771DB" w:rsidP="001A4A7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color w:val="00642D"/>
                        </w:rPr>
                      </w:pPr>
                      <w:r>
                        <w:t>La publicación de los proyectos normativos sujetos a consulta pública</w:t>
                      </w:r>
                    </w:p>
                    <w:p w:rsidR="009771DB" w:rsidRPr="00B10A12" w:rsidRDefault="009771DB" w:rsidP="001A4A7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color w:val="00642D"/>
                        </w:rPr>
                      </w:pPr>
                      <w:r>
                        <w:t xml:space="preserve">La publicación de información sobre el patrimonio histórico-artístico del </w:t>
                      </w:r>
                      <w:proofErr w:type="spellStart"/>
                      <w:r>
                        <w:t>BdE</w:t>
                      </w:r>
                      <w:proofErr w:type="spellEnd"/>
                    </w:p>
                    <w:p w:rsidR="009771DB" w:rsidRPr="00A63ED9" w:rsidRDefault="009771DB" w:rsidP="001A4A7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color w:val="00642D"/>
                        </w:rPr>
                      </w:pPr>
                      <w:r>
                        <w:t>La publicación de las Encomiendas de gestión efectuadas a la Imprenta de Billetes</w:t>
                      </w:r>
                    </w:p>
                    <w:p w:rsidR="009771DB" w:rsidRDefault="009771DB" w:rsidP="001A4A7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</w:pPr>
                      <w:r w:rsidRPr="00A63ED9">
                        <w:t xml:space="preserve">La publicación </w:t>
                      </w:r>
                      <w:r>
                        <w:t>de información estadística relativa al grado de cumplimiento de los servicios que presta.</w:t>
                      </w:r>
                    </w:p>
                    <w:p w:rsidR="009771DB" w:rsidRPr="00A63ED9" w:rsidRDefault="009771DB" w:rsidP="001A4A7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La publicación de sus bienes patrimoniales.</w:t>
                      </w:r>
                    </w:p>
                  </w:txbxContent>
                </v:textbox>
              </v:shape>
            </w:pict>
          </mc:Fallback>
        </mc:AlternateContent>
      </w:r>
    </w:p>
    <w:p w:rsidR="001C45F9" w:rsidRDefault="001C45F9">
      <w:pPr>
        <w:rPr>
          <w:b/>
          <w:color w:val="00642D"/>
        </w:rPr>
      </w:pPr>
    </w:p>
    <w:p w:rsidR="001C45F9" w:rsidRDefault="001C45F9">
      <w:pPr>
        <w:rPr>
          <w:b/>
          <w:color w:val="00642D"/>
        </w:rPr>
      </w:pPr>
    </w:p>
    <w:p w:rsidR="001C45F9" w:rsidRDefault="001C45F9">
      <w:pPr>
        <w:rPr>
          <w:b/>
          <w:color w:val="00642D"/>
        </w:rPr>
      </w:pPr>
    </w:p>
    <w:p w:rsidR="001C45F9" w:rsidRDefault="001C45F9">
      <w:pPr>
        <w:rPr>
          <w:b/>
          <w:color w:val="00642D"/>
        </w:rPr>
      </w:pPr>
    </w:p>
    <w:p w:rsidR="001C45F9" w:rsidRPr="00932008" w:rsidRDefault="001C45F9">
      <w:pPr>
        <w:rPr>
          <w:u w:val="single"/>
        </w:rPr>
      </w:pPr>
    </w:p>
    <w:p w:rsidR="00932008" w:rsidRDefault="00932008"/>
    <w:p w:rsidR="00B70D6A" w:rsidRDefault="00B70D6A"/>
    <w:p w:rsidR="00B70D6A" w:rsidRDefault="00B70D6A"/>
    <w:p w:rsidR="00500633" w:rsidRDefault="00500633">
      <w:pPr>
        <w:rPr>
          <w:b/>
          <w:color w:val="00642D"/>
        </w:rPr>
      </w:pPr>
    </w:p>
    <w:p w:rsidR="00500633" w:rsidRDefault="00500633">
      <w:pPr>
        <w:rPr>
          <w:b/>
          <w:color w:val="00642D"/>
        </w:rPr>
      </w:pPr>
    </w:p>
    <w:p w:rsidR="00500633" w:rsidRDefault="00500633">
      <w:pPr>
        <w:rPr>
          <w:b/>
          <w:color w:val="00642D"/>
        </w:rPr>
      </w:pPr>
    </w:p>
    <w:p w:rsidR="00500633" w:rsidRDefault="008D1590">
      <w:pPr>
        <w:rPr>
          <w:b/>
          <w:color w:val="00642D"/>
        </w:rPr>
      </w:pPr>
      <w:r w:rsidRPr="002A154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786F5" wp14:editId="0D5168A8">
                <wp:simplePos x="0" y="0"/>
                <wp:positionH relativeFrom="column">
                  <wp:posOffset>85725</wp:posOffset>
                </wp:positionH>
                <wp:positionV relativeFrom="paragraph">
                  <wp:posOffset>149225</wp:posOffset>
                </wp:positionV>
                <wp:extent cx="6512560" cy="2724150"/>
                <wp:effectExtent l="0" t="0" r="2159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DB" w:rsidRDefault="009771DB" w:rsidP="00500633">
                            <w:pPr>
                              <w:rPr>
                                <w:b/>
                                <w:color w:val="00642D"/>
                              </w:rPr>
                            </w:pPr>
                            <w:r>
                              <w:rPr>
                                <w:b/>
                                <w:color w:val="00642D"/>
                              </w:rPr>
                              <w:t>Buenas Prácticas</w:t>
                            </w:r>
                          </w:p>
                          <w:p w:rsidR="009771DB" w:rsidRPr="00DA50EE" w:rsidRDefault="009771DB" w:rsidP="00500633">
                            <w:r w:rsidRPr="00DA50EE">
                              <w:t xml:space="preserve">Como buenas prácticas </w:t>
                            </w:r>
                            <w:r>
                              <w:t xml:space="preserve">del </w:t>
                            </w:r>
                            <w:proofErr w:type="spellStart"/>
                            <w:r>
                              <w:t>BdE</w:t>
                            </w:r>
                            <w:proofErr w:type="spellEnd"/>
                            <w:r>
                              <w:t xml:space="preserve"> que podrían ser aplicables a otras organizaciones sujetas a obligaciones de publicidad activa, cabe destacar:</w:t>
                            </w:r>
                          </w:p>
                          <w:p w:rsidR="009771DB" w:rsidRDefault="009771DB" w:rsidP="0050063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 xml:space="preserve">La inclusión de un apartado en la página inicial del Portal de Transparencia en el que se informa de las actualizaciones de contenidos. </w:t>
                            </w:r>
                          </w:p>
                          <w:p w:rsidR="009771DB" w:rsidRDefault="009771DB" w:rsidP="0050063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La inclusión de textos descriptivos de los contenidos de los apartados del Portal de Transparencia.</w:t>
                            </w:r>
                          </w:p>
                          <w:p w:rsidR="009771DB" w:rsidRDefault="009771DB" w:rsidP="0050063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La organización y forma de presentación de la información que facilita su localización.</w:t>
                            </w:r>
                          </w:p>
                          <w:p w:rsidR="009771DB" w:rsidRDefault="009771DB" w:rsidP="0050063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D02414">
                              <w:t xml:space="preserve">La identificación </w:t>
                            </w:r>
                            <w:r>
                              <w:t xml:space="preserve">de los responsables </w:t>
                            </w:r>
                            <w:r w:rsidRPr="00D02414">
                              <w:t>y des</w:t>
                            </w:r>
                            <w:r>
                              <w:t>cripción de las funciones de unidades que integran su estructura organizativa.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75pt;margin-top:11.75pt;width:512.8pt;height:2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OJLA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">
                <v:textbox>
                  <w:txbxContent>
                    <w:p w:rsidR="009771DB" w:rsidRDefault="009771DB" w:rsidP="00500633">
                      <w:pPr>
                        <w:rPr>
                          <w:b/>
                          <w:color w:val="00642D"/>
                        </w:rPr>
                      </w:pPr>
                      <w:r>
                        <w:rPr>
                          <w:b/>
                          <w:color w:val="00642D"/>
                        </w:rPr>
                        <w:t>Buenas Prácticas</w:t>
                      </w:r>
                    </w:p>
                    <w:p w:rsidR="009771DB" w:rsidRPr="00DA50EE" w:rsidRDefault="009771DB" w:rsidP="00500633">
                      <w:r w:rsidRPr="00DA50EE">
                        <w:t xml:space="preserve">Como buenas prácticas </w:t>
                      </w:r>
                      <w:r>
                        <w:t xml:space="preserve">del </w:t>
                      </w:r>
                      <w:proofErr w:type="spellStart"/>
                      <w:r>
                        <w:t>BdE</w:t>
                      </w:r>
                      <w:proofErr w:type="spellEnd"/>
                      <w:r>
                        <w:t xml:space="preserve"> que podrían ser aplicables a otras organizaciones sujetas a obligaciones de publicidad activa, cabe destacar:</w:t>
                      </w:r>
                    </w:p>
                    <w:p w:rsidR="009771DB" w:rsidRDefault="009771DB" w:rsidP="0050063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 xml:space="preserve">La inclusión de un apartado en la página inicial del Portal de Transparencia en el que se informa de las actualizaciones de contenidos. </w:t>
                      </w:r>
                    </w:p>
                    <w:p w:rsidR="009771DB" w:rsidRDefault="009771DB" w:rsidP="0050063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La inclusión de textos descriptivos de los contenidos de los apartados del Portal de Transparencia.</w:t>
                      </w:r>
                    </w:p>
                    <w:p w:rsidR="009771DB" w:rsidRDefault="009771DB" w:rsidP="0050063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La organización y forma de presentación de la información que facilita su localización.</w:t>
                      </w:r>
                    </w:p>
                    <w:p w:rsidR="009771DB" w:rsidRDefault="009771DB" w:rsidP="0050063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D02414">
                        <w:t xml:space="preserve">La identificación </w:t>
                      </w:r>
                      <w:r>
                        <w:t xml:space="preserve">de los responsables </w:t>
                      </w:r>
                      <w:r w:rsidRPr="00D02414">
                        <w:t>y des</w:t>
                      </w:r>
                      <w:r>
                        <w:t>cripción de las funciones de unidades que integran su estructura organizativa.</w:t>
                      </w:r>
                    </w:p>
                  </w:txbxContent>
                </v:textbox>
              </v:shape>
            </w:pict>
          </mc:Fallback>
        </mc:AlternateContent>
      </w:r>
    </w:p>
    <w:p w:rsidR="00500633" w:rsidRDefault="00500633">
      <w:pPr>
        <w:rPr>
          <w:b/>
          <w:color w:val="00642D"/>
        </w:rPr>
      </w:pPr>
    </w:p>
    <w:p w:rsidR="00500633" w:rsidRDefault="00500633">
      <w:pPr>
        <w:rPr>
          <w:b/>
          <w:color w:val="00642D"/>
        </w:rPr>
      </w:pPr>
    </w:p>
    <w:p w:rsidR="00500633" w:rsidRDefault="00500633">
      <w:pPr>
        <w:rPr>
          <w:b/>
          <w:color w:val="00642D"/>
        </w:rPr>
      </w:pPr>
    </w:p>
    <w:p w:rsidR="00500633" w:rsidRDefault="00500633">
      <w:pPr>
        <w:rPr>
          <w:b/>
          <w:color w:val="00642D"/>
        </w:rPr>
      </w:pPr>
    </w:p>
    <w:p w:rsidR="00500633" w:rsidRDefault="00500633">
      <w:pPr>
        <w:rPr>
          <w:b/>
          <w:color w:val="00642D"/>
        </w:rPr>
      </w:pPr>
    </w:p>
    <w:p w:rsidR="00500633" w:rsidRDefault="00500633">
      <w:pPr>
        <w:rPr>
          <w:b/>
          <w:color w:val="00642D"/>
        </w:rPr>
      </w:pPr>
    </w:p>
    <w:p w:rsidR="00500633" w:rsidRDefault="00500633">
      <w:pPr>
        <w:rPr>
          <w:b/>
          <w:color w:val="00642D"/>
        </w:rPr>
      </w:pPr>
    </w:p>
    <w:p w:rsidR="00520631" w:rsidRDefault="00520631">
      <w:pPr>
        <w:rPr>
          <w:b/>
          <w:color w:val="00642D"/>
          <w:sz w:val="32"/>
          <w:szCs w:val="24"/>
        </w:rPr>
      </w:pPr>
      <w:r>
        <w:rPr>
          <w:b/>
          <w:color w:val="00642D"/>
          <w:sz w:val="32"/>
        </w:rPr>
        <w:br w:type="page"/>
      </w:r>
    </w:p>
    <w:p w:rsidR="002A154B" w:rsidRPr="002A154B" w:rsidRDefault="002A154B" w:rsidP="002A154B">
      <w:pPr>
        <w:pStyle w:val="Cuerpodelboletn"/>
        <w:numPr>
          <w:ilvl w:val="0"/>
          <w:numId w:val="1"/>
        </w:numPr>
        <w:spacing w:before="120" w:after="120" w:line="312" w:lineRule="auto"/>
        <w:rPr>
          <w:b/>
          <w:color w:val="00642D"/>
          <w:sz w:val="32"/>
        </w:rPr>
      </w:pPr>
      <w:r>
        <w:rPr>
          <w:b/>
          <w:color w:val="00642D"/>
          <w:sz w:val="32"/>
        </w:rPr>
        <w:lastRenderedPageBreak/>
        <w:t>Conclusiones y Recomendaciones</w:t>
      </w:r>
    </w:p>
    <w:p w:rsidR="008E224F" w:rsidRDefault="008E224F" w:rsidP="008E224F">
      <w:pPr>
        <w:spacing w:before="120" w:after="120" w:line="312" w:lineRule="auto"/>
        <w:jc w:val="both"/>
      </w:pPr>
      <w:r w:rsidRPr="00FD0689">
        <w:t xml:space="preserve">Como se ha indicado el cumplimiento de las obligaciones de transparencia de la LTAIBG por parte </w:t>
      </w:r>
      <w:r w:rsidR="00793725">
        <w:t xml:space="preserve">del </w:t>
      </w:r>
      <w:proofErr w:type="spellStart"/>
      <w:r w:rsidR="00793725">
        <w:t>BdE</w:t>
      </w:r>
      <w:proofErr w:type="spellEnd"/>
      <w:r w:rsidRPr="00FD0689">
        <w:t xml:space="preserve">, en función de la información disponible en </w:t>
      </w:r>
      <w:r>
        <w:t xml:space="preserve">su Portal de Transparencia </w:t>
      </w:r>
      <w:r w:rsidR="004E14E7">
        <w:t xml:space="preserve">alcanza el </w:t>
      </w:r>
      <w:r w:rsidR="0097408D">
        <w:t>88</w:t>
      </w:r>
      <w:r w:rsidR="00BE31F6">
        <w:t>,5</w:t>
      </w:r>
      <w:r w:rsidR="004E14E7">
        <w:t>%</w:t>
      </w:r>
      <w:r w:rsidRPr="0042288C">
        <w:t xml:space="preserve">. </w:t>
      </w:r>
    </w:p>
    <w:p w:rsidR="008E224F" w:rsidRDefault="008E224F" w:rsidP="008E224F">
      <w:pPr>
        <w:spacing w:before="120" w:after="120" w:line="312" w:lineRule="auto"/>
        <w:jc w:val="both"/>
      </w:pPr>
      <w:r>
        <w:t xml:space="preserve">Este Consejo de Transparencia y Buen Gobierno no puede menos que valorar positivamente el esfuerzo realizado por </w:t>
      </w:r>
      <w:r w:rsidR="00B579C7">
        <w:t>el</w:t>
      </w:r>
      <w:r>
        <w:t xml:space="preserve"> </w:t>
      </w:r>
      <w:r w:rsidR="00793725">
        <w:t xml:space="preserve"> BDE</w:t>
      </w:r>
      <w:r>
        <w:t xml:space="preserve"> para ha</w:t>
      </w:r>
      <w:r w:rsidR="00500633">
        <w:t xml:space="preserve">cer más transparente su gestión, publicando mucha información </w:t>
      </w:r>
      <w:r w:rsidR="00B43F4F">
        <w:t xml:space="preserve">muy </w:t>
      </w:r>
      <w:r w:rsidR="00500633">
        <w:t xml:space="preserve">relevante desde el punto de vista de la transparencia que va  más allá del cumplimiento de las obligaciones de publicidad activa. </w:t>
      </w:r>
      <w:r>
        <w:t>También, como se ha señalado, pueden resaltarse buenas prácticas que podrían incorporarse por otras organizaciones públicas.</w:t>
      </w:r>
    </w:p>
    <w:p w:rsidR="008E224F" w:rsidRPr="00FD0689" w:rsidRDefault="008E224F" w:rsidP="008E224F">
      <w:pPr>
        <w:spacing w:before="120" w:after="120" w:line="312" w:lineRule="auto"/>
        <w:jc w:val="both"/>
        <w:rPr>
          <w:rFonts w:eastAsiaTheme="majorEastAsia" w:cstheme="majorBidi"/>
          <w:b/>
          <w:bCs/>
          <w:color w:val="50866C"/>
        </w:rPr>
      </w:pPr>
      <w:r>
        <w:t>No obstante, a lo largo del informe se han señalado una serie de carencias. Por ello y   p</w:t>
      </w:r>
      <w:r w:rsidRPr="00FD0689">
        <w:t>ara procurar avances en el grado d</w:t>
      </w:r>
      <w:r w:rsidR="00D77BE4">
        <w:t>e</w:t>
      </w:r>
      <w:r w:rsidRPr="008E224F">
        <w:t xml:space="preserve"> </w:t>
      </w:r>
      <w:r w:rsidRPr="00FD0689">
        <w:t xml:space="preserve">cumplimiento de la LTAIBG por parte </w:t>
      </w:r>
      <w:r w:rsidR="00793725">
        <w:t xml:space="preserve">del </w:t>
      </w:r>
      <w:proofErr w:type="spellStart"/>
      <w:r w:rsidR="00793725">
        <w:t>BdE</w:t>
      </w:r>
      <w:proofErr w:type="spellEnd"/>
      <w:r w:rsidRPr="00FD0689">
        <w:t xml:space="preserve">, este CTBG </w:t>
      </w:r>
      <w:r w:rsidRPr="00FD0689">
        <w:rPr>
          <w:rFonts w:eastAsiaTheme="majorEastAsia" w:cstheme="majorBidi"/>
          <w:b/>
          <w:bCs/>
          <w:color w:val="50866C"/>
        </w:rPr>
        <w:t>recomienda:</w:t>
      </w:r>
    </w:p>
    <w:p w:rsidR="008E224F" w:rsidRDefault="008E224F" w:rsidP="008E224F">
      <w:pPr>
        <w:spacing w:before="120" w:after="120" w:line="312" w:lineRule="auto"/>
        <w:jc w:val="both"/>
        <w:rPr>
          <w:b/>
          <w:color w:val="00642D"/>
        </w:rPr>
      </w:pPr>
      <w:r w:rsidRPr="008E224F">
        <w:rPr>
          <w:b/>
          <w:color w:val="00642D"/>
        </w:rPr>
        <w:t>Incorporación de información</w:t>
      </w:r>
    </w:p>
    <w:p w:rsidR="008E224F" w:rsidRPr="008C6237" w:rsidRDefault="008E224F" w:rsidP="008C6237">
      <w:pPr>
        <w:spacing w:before="120" w:after="120" w:line="312" w:lineRule="auto"/>
        <w:jc w:val="both"/>
        <w:outlineLvl w:val="1"/>
        <w:rPr>
          <w:b/>
          <w:color w:val="00642D"/>
        </w:rPr>
      </w:pPr>
      <w:r w:rsidRPr="008C6237">
        <w:rPr>
          <w:b/>
          <w:color w:val="00642D"/>
        </w:rPr>
        <w:t>Información Económica, Presupuestaria y Estadística.</w:t>
      </w:r>
    </w:p>
    <w:p w:rsidR="008E224F" w:rsidRDefault="00B304A9" w:rsidP="003050DC">
      <w:pPr>
        <w:pStyle w:val="Prrafodelista"/>
        <w:numPr>
          <w:ilvl w:val="0"/>
          <w:numId w:val="14"/>
        </w:numPr>
        <w:spacing w:before="120" w:after="120" w:line="312" w:lineRule="auto"/>
        <w:jc w:val="both"/>
      </w:pPr>
      <w:r>
        <w:rPr>
          <w:rFonts w:eastAsia="Times New Roman" w:cs="Times New Roman"/>
          <w:bCs/>
          <w:szCs w:val="36"/>
        </w:rPr>
        <w:t xml:space="preserve">Debe </w:t>
      </w:r>
      <w:r w:rsidR="00B43634">
        <w:rPr>
          <w:rFonts w:eastAsia="Times New Roman" w:cs="Times New Roman"/>
          <w:bCs/>
          <w:szCs w:val="36"/>
        </w:rPr>
        <w:t>actualizarse la información estadística sobre contratos adjudicados según procedimiento de licitación</w:t>
      </w:r>
      <w:r w:rsidR="008E224F">
        <w:rPr>
          <w:lang w:bidi="es-ES"/>
        </w:rPr>
        <w:t>.</w:t>
      </w:r>
    </w:p>
    <w:p w:rsidR="00B43634" w:rsidRDefault="00B43634" w:rsidP="003050DC">
      <w:pPr>
        <w:pStyle w:val="Prrafodelista"/>
        <w:numPr>
          <w:ilvl w:val="0"/>
          <w:numId w:val="14"/>
        </w:numPr>
        <w:spacing w:before="120" w:after="120" w:line="312" w:lineRule="auto"/>
        <w:jc w:val="both"/>
      </w:pPr>
      <w:r>
        <w:t>Debería publicarse información sobre ejecución presupuestaria.</w:t>
      </w:r>
    </w:p>
    <w:p w:rsidR="00B43634" w:rsidRDefault="00B43634" w:rsidP="00B43634">
      <w:pPr>
        <w:pStyle w:val="Prrafodelista"/>
        <w:numPr>
          <w:ilvl w:val="0"/>
          <w:numId w:val="14"/>
        </w:numPr>
        <w:spacing w:before="120" w:after="120" w:line="312" w:lineRule="auto"/>
        <w:ind w:left="709"/>
        <w:jc w:val="both"/>
        <w:rPr>
          <w:lang w:bidi="es-ES"/>
        </w:rPr>
      </w:pPr>
      <w:r>
        <w:t>Deben publicarse los informes de fiscalización del TCU.</w:t>
      </w:r>
    </w:p>
    <w:p w:rsidR="008E224F" w:rsidRDefault="00B43634" w:rsidP="00B43634">
      <w:pPr>
        <w:pStyle w:val="Prrafodelista"/>
        <w:numPr>
          <w:ilvl w:val="0"/>
          <w:numId w:val="14"/>
        </w:numPr>
        <w:spacing w:before="120" w:after="120" w:line="312" w:lineRule="auto"/>
        <w:ind w:left="709"/>
        <w:jc w:val="both"/>
        <w:rPr>
          <w:lang w:bidi="es-ES"/>
        </w:rPr>
      </w:pPr>
      <w:r>
        <w:t xml:space="preserve">Debe </w:t>
      </w:r>
      <w:r w:rsidR="00B579C7">
        <w:t xml:space="preserve">actualizarse </w:t>
      </w:r>
      <w:r>
        <w:t>la información sobre retribuciones de altos cargos, sobre indemnizaciones percibidas al cese</w:t>
      </w:r>
      <w:r w:rsidR="00B579C7">
        <w:t xml:space="preserve"> y</w:t>
      </w:r>
      <w:r>
        <w:t xml:space="preserve"> so</w:t>
      </w:r>
      <w:r>
        <w:rPr>
          <w:lang w:bidi="es-ES"/>
        </w:rPr>
        <w:t>bre autorizaciones de compatibilidad a empleados.</w:t>
      </w:r>
    </w:p>
    <w:p w:rsidR="008E224F" w:rsidRPr="008C6237" w:rsidRDefault="008E224F" w:rsidP="008C6237">
      <w:pPr>
        <w:spacing w:before="120" w:after="120" w:line="312" w:lineRule="auto"/>
        <w:jc w:val="both"/>
        <w:outlineLvl w:val="1"/>
        <w:rPr>
          <w:b/>
          <w:color w:val="00642D"/>
        </w:rPr>
      </w:pPr>
      <w:r w:rsidRPr="008C6237">
        <w:rPr>
          <w:b/>
          <w:color w:val="00642D"/>
        </w:rPr>
        <w:t>Calidad de la Información.</w:t>
      </w:r>
    </w:p>
    <w:p w:rsidR="008E224F" w:rsidRDefault="00B43634" w:rsidP="008C6237">
      <w:pPr>
        <w:pStyle w:val="Prrafodelista"/>
        <w:numPr>
          <w:ilvl w:val="0"/>
          <w:numId w:val="15"/>
        </w:numPr>
        <w:spacing w:before="120" w:after="120" w:line="312" w:lineRule="auto"/>
        <w:jc w:val="both"/>
      </w:pPr>
      <w:r>
        <w:t xml:space="preserve">Debería revisarse el criterio de publicación de varias informaciones a </w:t>
      </w:r>
      <w:r w:rsidR="00B579C7">
        <w:t>ejercicio</w:t>
      </w:r>
      <w:r>
        <w:t xml:space="preserve"> vencido</w:t>
      </w:r>
      <w:r w:rsidR="008E224F" w:rsidRPr="00C46140">
        <w:t>.</w:t>
      </w:r>
    </w:p>
    <w:p w:rsidR="00B43634" w:rsidRPr="00C46140" w:rsidRDefault="00B43634" w:rsidP="008C6237">
      <w:pPr>
        <w:pStyle w:val="Prrafodelista"/>
        <w:numPr>
          <w:ilvl w:val="0"/>
          <w:numId w:val="15"/>
        </w:numPr>
        <w:spacing w:before="120" w:after="120" w:line="312" w:lineRule="auto"/>
        <w:jc w:val="both"/>
      </w:pPr>
      <w:r>
        <w:t>El enlace a la Plataforma de Contratación del Sector Público resulta poco visible.</w:t>
      </w:r>
    </w:p>
    <w:p w:rsidR="008E224F" w:rsidRPr="00FA3DC3" w:rsidRDefault="008E224F" w:rsidP="008C6237">
      <w:pPr>
        <w:pStyle w:val="Prrafodelista"/>
        <w:numPr>
          <w:ilvl w:val="0"/>
          <w:numId w:val="15"/>
        </w:numPr>
        <w:spacing w:before="120" w:after="120" w:line="312" w:lineRule="auto"/>
        <w:jc w:val="both"/>
      </w:pPr>
      <w:r w:rsidRPr="002C76A3">
        <w:t>Debe</w:t>
      </w:r>
      <w:r>
        <w:t>ría</w:t>
      </w:r>
      <w:r w:rsidRPr="002C76A3">
        <w:t xml:space="preserve"> ofrecerse </w:t>
      </w:r>
      <w:r>
        <w:t xml:space="preserve">toda </w:t>
      </w:r>
      <w:r w:rsidRPr="002C76A3">
        <w:t>la información en formatos reut</w:t>
      </w:r>
      <w:r w:rsidRPr="00FA3DC3">
        <w:t>ilizables.</w:t>
      </w:r>
    </w:p>
    <w:p w:rsidR="00B40246" w:rsidRDefault="00B40246" w:rsidP="008E224F"/>
    <w:p w:rsidR="00520631" w:rsidRDefault="00CB0154" w:rsidP="00520631">
      <w:pPr>
        <w:jc w:val="right"/>
      </w:pPr>
      <w:r>
        <w:t>Madrid, enero de 2021</w:t>
      </w:r>
    </w:p>
    <w:p w:rsidR="00520631" w:rsidRDefault="00520631">
      <w:r>
        <w:br w:type="page"/>
      </w:r>
    </w:p>
    <w:p w:rsidR="0062746D" w:rsidRPr="0062746D" w:rsidRDefault="006916F7" w:rsidP="0062746D">
      <w:pPr>
        <w:spacing w:line="240" w:lineRule="auto"/>
        <w:jc w:val="center"/>
        <w:rPr>
          <w:rFonts w:eastAsia="Times New Roman" w:cs="Times New Roman"/>
          <w:b/>
          <w:color w:val="000000"/>
          <w:sz w:val="30"/>
          <w:szCs w:val="30"/>
          <w:lang w:eastAsia="en-US"/>
        </w:rPr>
      </w:pPr>
      <w:sdt>
        <w:sdtPr>
          <w:rPr>
            <w:rFonts w:eastAsia="Times New Roman" w:cs="Times New Roman"/>
            <w:b/>
            <w:sz w:val="30"/>
            <w:szCs w:val="30"/>
            <w:lang w:eastAsia="en-US"/>
          </w:rPr>
          <w:id w:val="1557966967"/>
          <w:placeholder>
            <w:docPart w:val="A2379D2473F4489EB7207140CF6C13E7"/>
          </w:placeholder>
        </w:sdtPr>
        <w:sdtEndPr/>
        <w:sdtContent>
          <w:r w:rsidR="0062746D" w:rsidRPr="0062746D">
            <w:rPr>
              <w:rFonts w:eastAsia="Times New Roman" w:cs="Times New Roman"/>
              <w:b/>
              <w:color w:val="50866C"/>
              <w:sz w:val="30"/>
              <w:szCs w:val="30"/>
              <w:lang w:eastAsia="en-US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518"/>
        <w:gridCol w:w="2558"/>
        <w:gridCol w:w="685"/>
        <w:gridCol w:w="3769"/>
      </w:tblGrid>
      <w:tr w:rsidR="0062746D" w:rsidRPr="0062746D" w:rsidTr="0018611A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62746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PRINCIPIOS GENERALES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62746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CRITERIO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62746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DESCRIPCION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62746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VALOR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62746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SIGNIFICADO</w:t>
            </w:r>
          </w:p>
        </w:tc>
      </w:tr>
      <w:tr w:rsidR="0062746D" w:rsidRPr="0062746D" w:rsidTr="0018611A">
        <w:trPr>
          <w:trHeight w:val="514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PUBLICACIÓN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CONTENIDO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Se obliga su publicación por la Ley19/21013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SI se publica el contenido de la obligación exigida</w:t>
            </w:r>
          </w:p>
        </w:tc>
      </w:tr>
      <w:tr w:rsidR="0062746D" w:rsidRPr="0062746D" w:rsidTr="0018611A">
        <w:trPr>
          <w:trHeight w:val="32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NO se publica el contenido de la obligación exigida</w:t>
            </w:r>
          </w:p>
        </w:tc>
      </w:tr>
      <w:tr w:rsidR="0062746D" w:rsidRPr="0062746D" w:rsidTr="0018611A">
        <w:trPr>
          <w:trHeight w:val="42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FORMA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Modo de presentar la información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De forma DIRECTA en la misma web o con enlace directo a la información</w:t>
            </w:r>
          </w:p>
        </w:tc>
      </w:tr>
      <w:tr w:rsidR="0062746D" w:rsidRPr="0062746D" w:rsidTr="0018611A">
        <w:trPr>
          <w:trHeight w:val="419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De forma INDIRECTA pero sin dirigir a la información a la que se refiere</w:t>
            </w:r>
          </w:p>
        </w:tc>
      </w:tr>
      <w:tr w:rsidR="0062746D" w:rsidRPr="0062746D" w:rsidTr="0018611A">
        <w:trPr>
          <w:trHeight w:val="41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ACTUALIZACIÓN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Se identifica la fecha de datación de la información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Tiene FECHA y está dentro de los TRES meses previos a la fecha de consulta</w:t>
            </w:r>
          </w:p>
        </w:tc>
      </w:tr>
      <w:tr w:rsidR="0062746D" w:rsidRPr="0062746D" w:rsidTr="0018611A">
        <w:trPr>
          <w:trHeight w:val="416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Tiene FECHA  pero NO ESTA ACTUALIZADO dentro de los tres meses</w:t>
            </w:r>
          </w:p>
        </w:tc>
      </w:tr>
      <w:tr w:rsidR="0062746D" w:rsidRPr="0062746D" w:rsidTr="0018611A">
        <w:trPr>
          <w:trHeight w:val="422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NO SE CONOCE la fecha de publicación de la información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ATRIBUTOS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ACCESIBILIDAD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Número de clics para acceder a la información desde la página principal de transparencia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3 clics como máximo</w:t>
            </w:r>
          </w:p>
        </w:tc>
      </w:tr>
      <w:tr w:rsidR="0062746D" w:rsidRPr="0062746D" w:rsidTr="0018611A">
        <w:trPr>
          <w:trHeight w:val="17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</w:tr>
      <w:tr w:rsidR="0062746D" w:rsidRPr="0062746D" w:rsidTr="0018611A">
        <w:trPr>
          <w:trHeight w:val="245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</w:tr>
      <w:tr w:rsidR="0062746D" w:rsidRPr="0062746D" w:rsidTr="0018611A">
        <w:trPr>
          <w:trHeight w:val="26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</w:tr>
      <w:tr w:rsidR="0062746D" w:rsidRPr="0062746D" w:rsidTr="0018611A">
        <w:trPr>
          <w:trHeight w:val="28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</w:tr>
      <w:tr w:rsidR="0062746D" w:rsidRPr="0062746D" w:rsidTr="0018611A">
        <w:trPr>
          <w:trHeight w:val="27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8</w:t>
            </w:r>
          </w:p>
        </w:tc>
      </w:tr>
      <w:tr w:rsidR="0062746D" w:rsidRPr="0062746D" w:rsidTr="0018611A">
        <w:trPr>
          <w:trHeight w:val="13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9</w:t>
            </w:r>
          </w:p>
        </w:tc>
      </w:tr>
      <w:tr w:rsidR="0062746D" w:rsidRPr="0062746D" w:rsidTr="0018611A">
        <w:trPr>
          <w:trHeight w:val="20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11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Más de 12 clics</w:t>
            </w:r>
          </w:p>
        </w:tc>
      </w:tr>
      <w:tr w:rsidR="0062746D" w:rsidRPr="0062746D" w:rsidTr="0018611A">
        <w:trPr>
          <w:trHeight w:val="265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CLARIDAD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MUY comprensible o con ayudas, en su caso</w:t>
            </w:r>
          </w:p>
        </w:tc>
      </w:tr>
      <w:tr w:rsidR="0062746D" w:rsidRPr="0062746D" w:rsidTr="0018611A">
        <w:trPr>
          <w:trHeight w:val="27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Comprensible</w:t>
            </w:r>
          </w:p>
        </w:tc>
      </w:tr>
      <w:tr w:rsidR="0062746D" w:rsidRPr="0062746D" w:rsidTr="0018611A">
        <w:trPr>
          <w:trHeight w:val="25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Normal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Poco comprensible</w:t>
            </w:r>
          </w:p>
        </w:tc>
      </w:tr>
      <w:tr w:rsidR="0062746D" w:rsidRPr="0062746D" w:rsidTr="0018611A">
        <w:trPr>
          <w:trHeight w:val="18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Difícilmente comprensible</w:t>
            </w:r>
          </w:p>
        </w:tc>
      </w:tr>
      <w:tr w:rsidR="0062746D" w:rsidRPr="0062746D" w:rsidTr="0018611A">
        <w:trPr>
          <w:trHeight w:val="24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62746D" w:rsidRPr="0062746D" w:rsidTr="0018611A">
        <w:trPr>
          <w:trHeight w:val="12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NADA comprensible</w:t>
            </w:r>
          </w:p>
        </w:tc>
      </w:tr>
      <w:tr w:rsidR="0062746D" w:rsidRPr="0062746D" w:rsidTr="0018611A">
        <w:trPr>
          <w:trHeight w:val="57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ESTRUCTURACIÓN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2746D">
              <w:rPr>
                <w:rFonts w:eastAsia="Times New Roman" w:cs="Calibri"/>
                <w:sz w:val="16"/>
                <w:szCs w:val="16"/>
              </w:rPr>
              <w:t>Información organizada siguiendo una lógica clara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2746D">
              <w:rPr>
                <w:rFonts w:eastAsia="Times New Roman" w:cs="Calibri"/>
                <w:sz w:val="16"/>
                <w:szCs w:val="16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2746D">
              <w:rPr>
                <w:rFonts w:eastAsia="Times New Roman" w:cs="Calibri"/>
                <w:sz w:val="16"/>
                <w:szCs w:val="16"/>
              </w:rPr>
              <w:t>la información se encuentra ordenada en grupos de materias, temáticas o de acuerdo con los bloques o grupos de información de la ley</w:t>
            </w:r>
          </w:p>
        </w:tc>
      </w:tr>
      <w:tr w:rsidR="0062746D" w:rsidRPr="0062746D" w:rsidTr="0018611A">
        <w:trPr>
          <w:trHeight w:val="42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2746D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2746D">
              <w:rPr>
                <w:rFonts w:eastAsia="Times New Roman" w:cs="Calibri"/>
                <w:sz w:val="16"/>
                <w:szCs w:val="16"/>
              </w:rPr>
              <w:t>la información se presenta dispersa sin agrupación ni ordenación alguna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Reutilización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Formatos según Ley 37/2007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Es un formato reutilizable establecido</w:t>
            </w:r>
          </w:p>
        </w:tc>
      </w:tr>
      <w:tr w:rsidR="0062746D" w:rsidRPr="0062746D" w:rsidTr="0018611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NO es un formato reutilizable</w:t>
            </w:r>
          </w:p>
        </w:tc>
      </w:tr>
      <w:tr w:rsidR="0062746D" w:rsidRPr="0062746D" w:rsidTr="0018611A">
        <w:trPr>
          <w:trHeight w:val="343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WEB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LUGAR PUBLICACION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Dónde quedan publicadas las obligaciones de publicidad activa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Apartado específico o banner en la página inicial del sitio</w:t>
            </w:r>
          </w:p>
        </w:tc>
      </w:tr>
      <w:tr w:rsidR="0062746D" w:rsidRPr="0062746D" w:rsidTr="0018611A">
        <w:trPr>
          <w:trHeight w:val="362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Apartado específico pero NO en la página de inicio</w:t>
            </w:r>
          </w:p>
        </w:tc>
      </w:tr>
      <w:tr w:rsidR="0062746D" w:rsidRPr="0062746D" w:rsidTr="0018611A">
        <w:trPr>
          <w:trHeight w:val="6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D" w:rsidRPr="0062746D" w:rsidRDefault="0062746D" w:rsidP="006274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6D" w:rsidRPr="0062746D" w:rsidRDefault="0062746D" w:rsidP="0052063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2746D">
              <w:rPr>
                <w:rFonts w:eastAsia="Times New Roman" w:cs="Calibri"/>
                <w:color w:val="000000"/>
                <w:sz w:val="16"/>
                <w:szCs w:val="16"/>
              </w:rPr>
              <w:t>No existe un apartado específico de transparencia</w:t>
            </w:r>
          </w:p>
        </w:tc>
      </w:tr>
    </w:tbl>
    <w:p w:rsidR="0062746D" w:rsidRPr="0062746D" w:rsidRDefault="0062746D" w:rsidP="0062746D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en-US"/>
        </w:rPr>
      </w:pPr>
    </w:p>
    <w:p w:rsidR="00F501F9" w:rsidRDefault="00F501F9"/>
    <w:sectPr w:rsidR="00F501F9" w:rsidSect="00DF63E7">
      <w:headerReference w:type="default" r:id="rId13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DB" w:rsidRDefault="009771DB" w:rsidP="00932008">
      <w:pPr>
        <w:spacing w:after="0" w:line="240" w:lineRule="auto"/>
      </w:pPr>
      <w:r>
        <w:separator/>
      </w:r>
    </w:p>
  </w:endnote>
  <w:endnote w:type="continuationSeparator" w:id="0">
    <w:p w:rsidR="009771DB" w:rsidRDefault="009771DB" w:rsidP="0093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DB" w:rsidRDefault="009771DB" w:rsidP="00932008">
      <w:pPr>
        <w:spacing w:after="0" w:line="240" w:lineRule="auto"/>
      </w:pPr>
      <w:r>
        <w:separator/>
      </w:r>
    </w:p>
  </w:footnote>
  <w:footnote w:type="continuationSeparator" w:id="0">
    <w:p w:rsidR="009771DB" w:rsidRDefault="009771DB" w:rsidP="0093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DB" w:rsidRDefault="009771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pt;height:9pt" o:bullet="t">
        <v:imagedata r:id="rId1" o:title="BD14533_"/>
      </v:shape>
    </w:pict>
  </w:numPicBullet>
  <w:abstractNum w:abstractNumId="0">
    <w:nsid w:val="17637800"/>
    <w:multiLevelType w:val="hybridMultilevel"/>
    <w:tmpl w:val="B1242FB6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33A0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121"/>
    <w:multiLevelType w:val="hybridMultilevel"/>
    <w:tmpl w:val="FC4229C8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D41B3"/>
    <w:multiLevelType w:val="hybridMultilevel"/>
    <w:tmpl w:val="75388AC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6AFF"/>
    <w:multiLevelType w:val="hybridMultilevel"/>
    <w:tmpl w:val="04F6D256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A501E"/>
    <w:multiLevelType w:val="hybridMultilevel"/>
    <w:tmpl w:val="BEEC1CE6"/>
    <w:lvl w:ilvl="0" w:tplc="B7C2270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E07F8F"/>
    <w:multiLevelType w:val="hybridMultilevel"/>
    <w:tmpl w:val="324E5674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728CF"/>
    <w:multiLevelType w:val="hybridMultilevel"/>
    <w:tmpl w:val="859635FA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F5ED8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57964"/>
    <w:multiLevelType w:val="hybridMultilevel"/>
    <w:tmpl w:val="88047CC4"/>
    <w:lvl w:ilvl="0" w:tplc="FCB8CED4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00642D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6551"/>
    <w:multiLevelType w:val="hybridMultilevel"/>
    <w:tmpl w:val="B8AC15F4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0080E"/>
    <w:multiLevelType w:val="hybridMultilevel"/>
    <w:tmpl w:val="DEDA08A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90FB8"/>
    <w:multiLevelType w:val="hybridMultilevel"/>
    <w:tmpl w:val="481CB5E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A7E50"/>
    <w:multiLevelType w:val="hybridMultilevel"/>
    <w:tmpl w:val="16DE8A1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1333A"/>
    <w:multiLevelType w:val="hybridMultilevel"/>
    <w:tmpl w:val="CDCA74E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31C93"/>
    <w:multiLevelType w:val="hybridMultilevel"/>
    <w:tmpl w:val="DCD8F81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6"/>
    <w:rsid w:val="00000A44"/>
    <w:rsid w:val="00000DF7"/>
    <w:rsid w:val="000013D5"/>
    <w:rsid w:val="00002AD9"/>
    <w:rsid w:val="0001413E"/>
    <w:rsid w:val="00021EF4"/>
    <w:rsid w:val="000262A3"/>
    <w:rsid w:val="000965B3"/>
    <w:rsid w:val="000A6B02"/>
    <w:rsid w:val="000C6CFF"/>
    <w:rsid w:val="000D75C8"/>
    <w:rsid w:val="00102733"/>
    <w:rsid w:val="00136AE4"/>
    <w:rsid w:val="001561A4"/>
    <w:rsid w:val="0018611A"/>
    <w:rsid w:val="001A3DBA"/>
    <w:rsid w:val="001A4A7C"/>
    <w:rsid w:val="001A682A"/>
    <w:rsid w:val="001C45F9"/>
    <w:rsid w:val="001C6578"/>
    <w:rsid w:val="00213F73"/>
    <w:rsid w:val="002A154B"/>
    <w:rsid w:val="00300075"/>
    <w:rsid w:val="003050DC"/>
    <w:rsid w:val="00336C67"/>
    <w:rsid w:val="003757E3"/>
    <w:rsid w:val="003F271E"/>
    <w:rsid w:val="003F572A"/>
    <w:rsid w:val="0041079E"/>
    <w:rsid w:val="004E14E7"/>
    <w:rsid w:val="004F2655"/>
    <w:rsid w:val="00500633"/>
    <w:rsid w:val="005164AD"/>
    <w:rsid w:val="00520631"/>
    <w:rsid w:val="00521DA9"/>
    <w:rsid w:val="00541472"/>
    <w:rsid w:val="00544E0C"/>
    <w:rsid w:val="00561402"/>
    <w:rsid w:val="0057532F"/>
    <w:rsid w:val="005B19E4"/>
    <w:rsid w:val="005F29B8"/>
    <w:rsid w:val="0062746D"/>
    <w:rsid w:val="0066690D"/>
    <w:rsid w:val="006773E3"/>
    <w:rsid w:val="006916F7"/>
    <w:rsid w:val="006A2766"/>
    <w:rsid w:val="006D62DB"/>
    <w:rsid w:val="006E5667"/>
    <w:rsid w:val="006F5866"/>
    <w:rsid w:val="00703D87"/>
    <w:rsid w:val="00710031"/>
    <w:rsid w:val="00713382"/>
    <w:rsid w:val="00743756"/>
    <w:rsid w:val="00782ABF"/>
    <w:rsid w:val="00792AF7"/>
    <w:rsid w:val="00793725"/>
    <w:rsid w:val="007B0F99"/>
    <w:rsid w:val="00810E1F"/>
    <w:rsid w:val="00843094"/>
    <w:rsid w:val="00844FA9"/>
    <w:rsid w:val="00845A55"/>
    <w:rsid w:val="008772BD"/>
    <w:rsid w:val="008A47AF"/>
    <w:rsid w:val="008B14C5"/>
    <w:rsid w:val="008C1E1E"/>
    <w:rsid w:val="008C6237"/>
    <w:rsid w:val="008D1590"/>
    <w:rsid w:val="008D4833"/>
    <w:rsid w:val="008E224F"/>
    <w:rsid w:val="008F0C47"/>
    <w:rsid w:val="00932008"/>
    <w:rsid w:val="00933B93"/>
    <w:rsid w:val="00947D80"/>
    <w:rsid w:val="009556B8"/>
    <w:rsid w:val="00957545"/>
    <w:rsid w:val="009609E9"/>
    <w:rsid w:val="0097408D"/>
    <w:rsid w:val="009771DB"/>
    <w:rsid w:val="00981D97"/>
    <w:rsid w:val="009847CD"/>
    <w:rsid w:val="009F5BFD"/>
    <w:rsid w:val="00A577D1"/>
    <w:rsid w:val="00A63ED9"/>
    <w:rsid w:val="00AA1FC9"/>
    <w:rsid w:val="00AD2022"/>
    <w:rsid w:val="00B0240A"/>
    <w:rsid w:val="00B10A12"/>
    <w:rsid w:val="00B233C4"/>
    <w:rsid w:val="00B25475"/>
    <w:rsid w:val="00B25C07"/>
    <w:rsid w:val="00B304A9"/>
    <w:rsid w:val="00B40246"/>
    <w:rsid w:val="00B43634"/>
    <w:rsid w:val="00B43F4F"/>
    <w:rsid w:val="00B579C7"/>
    <w:rsid w:val="00B70D6A"/>
    <w:rsid w:val="00B841AE"/>
    <w:rsid w:val="00BB6799"/>
    <w:rsid w:val="00BC3729"/>
    <w:rsid w:val="00BD4582"/>
    <w:rsid w:val="00BE31F6"/>
    <w:rsid w:val="00BE521A"/>
    <w:rsid w:val="00BE6A46"/>
    <w:rsid w:val="00C33A23"/>
    <w:rsid w:val="00C5744D"/>
    <w:rsid w:val="00C65B5B"/>
    <w:rsid w:val="00C76CB6"/>
    <w:rsid w:val="00C822F8"/>
    <w:rsid w:val="00CB0154"/>
    <w:rsid w:val="00CB5511"/>
    <w:rsid w:val="00CC2049"/>
    <w:rsid w:val="00CF3DFE"/>
    <w:rsid w:val="00D02414"/>
    <w:rsid w:val="00D6381F"/>
    <w:rsid w:val="00D77BE4"/>
    <w:rsid w:val="00D87C1B"/>
    <w:rsid w:val="00D96455"/>
    <w:rsid w:val="00D96F84"/>
    <w:rsid w:val="00DA2EDF"/>
    <w:rsid w:val="00DA50EE"/>
    <w:rsid w:val="00DF63E7"/>
    <w:rsid w:val="00E03165"/>
    <w:rsid w:val="00E05BEC"/>
    <w:rsid w:val="00E21BFC"/>
    <w:rsid w:val="00E3088D"/>
    <w:rsid w:val="00E34195"/>
    <w:rsid w:val="00E47613"/>
    <w:rsid w:val="00E6578E"/>
    <w:rsid w:val="00EB73DB"/>
    <w:rsid w:val="00ED43B3"/>
    <w:rsid w:val="00EF205C"/>
    <w:rsid w:val="00EF55F4"/>
    <w:rsid w:val="00F11159"/>
    <w:rsid w:val="00F14D9E"/>
    <w:rsid w:val="00F14DA4"/>
    <w:rsid w:val="00F47C3B"/>
    <w:rsid w:val="00F501F9"/>
    <w:rsid w:val="00F522DC"/>
    <w:rsid w:val="00F71D7D"/>
    <w:rsid w:val="00FA3DC3"/>
    <w:rsid w:val="00FA7169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A716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E224F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224F"/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757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7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7E3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7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7E3"/>
    <w:rPr>
      <w:rFonts w:ascii="Century Gothic" w:hAnsi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A716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E224F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224F"/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757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7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7E3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7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7E3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MSC_ES-ES_MS_ControlDeIncidenciasLogis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40EEAFD8F4058AD3AB0127031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8E77-E42B-4217-A139-F92CCCDD865A}"/>
      </w:docPartPr>
      <w:docPartBody>
        <w:p w:rsidR="00D35513" w:rsidRDefault="00D35513" w:rsidP="00D35513">
          <w:pPr>
            <w:pStyle w:val="31940EEAFD8F4058AD3AB0127031DCF8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7380086C8FAE48A7BA69FB659C70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2C9C-F117-4A82-AD85-77D0E4E0738D}"/>
      </w:docPartPr>
      <w:docPartBody>
        <w:p w:rsidR="00D35513" w:rsidRDefault="00D35513" w:rsidP="00D35513">
          <w:pPr>
            <w:pStyle w:val="7380086C8FAE48A7BA69FB659C70503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A2379D2473F4489EB7207140CF6C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34E5-AEB3-41F4-87FB-501EB505EB49}"/>
      </w:docPartPr>
      <w:docPartBody>
        <w:p w:rsidR="00946AA1" w:rsidRDefault="00946AA1" w:rsidP="00946AA1">
          <w:pPr>
            <w:pStyle w:val="A2379D2473F4489EB7207140CF6C13E7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3"/>
    <w:rsid w:val="00032EE8"/>
    <w:rsid w:val="0013771E"/>
    <w:rsid w:val="002B4802"/>
    <w:rsid w:val="0034035A"/>
    <w:rsid w:val="003A7632"/>
    <w:rsid w:val="003D088C"/>
    <w:rsid w:val="008C42C0"/>
    <w:rsid w:val="00946AA1"/>
    <w:rsid w:val="00B734C6"/>
    <w:rsid w:val="00D246E0"/>
    <w:rsid w:val="00D35513"/>
    <w:rsid w:val="00E01BF8"/>
    <w:rsid w:val="00F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6AA1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FD543BCAB08A41608D6221B12651048F">
    <w:name w:val="FD543BCAB08A41608D6221B12651048F"/>
    <w:rsid w:val="00946AA1"/>
  </w:style>
  <w:style w:type="paragraph" w:customStyle="1" w:styleId="A2379D2473F4489EB7207140CF6C13E7">
    <w:name w:val="A2379D2473F4489EB7207140CF6C13E7"/>
    <w:rsid w:val="00946A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6AA1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FD543BCAB08A41608D6221B12651048F">
    <w:name w:val="FD543BCAB08A41608D6221B12651048F"/>
    <w:rsid w:val="00946AA1"/>
  </w:style>
  <w:style w:type="paragraph" w:customStyle="1" w:styleId="A2379D2473F4489EB7207140CF6C13E7">
    <w:name w:val="A2379D2473F4489EB7207140CF6C13E7"/>
    <w:rsid w:val="00946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EF81-14DC-4409-B03B-C8740F3A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D0C7-06D4-4043-8A90-B29EDA23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MSC_ES-ES_MS_ControlDeIncidenciasLogisticas.dotx</Template>
  <TotalTime>1</TotalTime>
  <Pages>12</Pages>
  <Words>1840</Words>
  <Characters>10121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>SGAD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creator>anam.ruiz</dc:creator>
  <cp:lastModifiedBy>anam.ruiz</cp:lastModifiedBy>
  <cp:revision>2</cp:revision>
  <cp:lastPrinted>2007-10-26T10:03:00Z</cp:lastPrinted>
  <dcterms:created xsi:type="dcterms:W3CDTF">2021-03-26T07:59:00Z</dcterms:created>
  <dcterms:modified xsi:type="dcterms:W3CDTF">2021-03-26T07:59:00Z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TC102569139990</vt:lpwstr>
  </property>
</Properties>
</file>